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ook w:val="01E0"/>
      </w:tblPr>
      <w:tblGrid>
        <w:gridCol w:w="3420"/>
        <w:gridCol w:w="5760"/>
      </w:tblGrid>
      <w:tr w:rsidR="007A387E" w:rsidRPr="00A03F05" w:rsidTr="00EB14E9">
        <w:trPr>
          <w:trHeight w:val="268"/>
        </w:trPr>
        <w:tc>
          <w:tcPr>
            <w:tcW w:w="3420" w:type="dxa"/>
          </w:tcPr>
          <w:p w:rsidR="007A387E" w:rsidRPr="00A03F05" w:rsidRDefault="007A387E" w:rsidP="007A387E">
            <w:pPr>
              <w:spacing w:after="0" w:line="240" w:lineRule="auto"/>
              <w:jc w:val="center"/>
              <w:rPr>
                <w:color w:val="000000"/>
                <w:sz w:val="26"/>
                <w:szCs w:val="26"/>
              </w:rPr>
            </w:pPr>
            <w:r w:rsidRPr="00A03F05">
              <w:rPr>
                <w:color w:val="000000"/>
                <w:sz w:val="26"/>
                <w:szCs w:val="26"/>
              </w:rPr>
              <w:t xml:space="preserve">   UBND TỈNH </w:t>
            </w:r>
            <w:r>
              <w:rPr>
                <w:color w:val="000000"/>
                <w:sz w:val="26"/>
                <w:szCs w:val="26"/>
              </w:rPr>
              <w:t>HÀ NAM</w:t>
            </w:r>
          </w:p>
        </w:tc>
        <w:tc>
          <w:tcPr>
            <w:tcW w:w="5760" w:type="dxa"/>
          </w:tcPr>
          <w:p w:rsidR="007A387E" w:rsidRPr="00A03F05" w:rsidRDefault="007A387E" w:rsidP="007A387E">
            <w:pPr>
              <w:spacing w:after="0" w:line="240" w:lineRule="auto"/>
              <w:jc w:val="center"/>
              <w:rPr>
                <w:b/>
                <w:color w:val="000000"/>
                <w:sz w:val="26"/>
                <w:szCs w:val="26"/>
              </w:rPr>
            </w:pPr>
            <w:r w:rsidRPr="00A03F05">
              <w:rPr>
                <w:b/>
                <w:color w:val="000000"/>
                <w:sz w:val="26"/>
                <w:szCs w:val="26"/>
              </w:rPr>
              <w:t xml:space="preserve">CỘNG HOÀ XÃ HỘI CHỦ NGHĨA VIỆT </w:t>
            </w:r>
            <w:smartTag w:uri="urn:schemas-microsoft-com:office:smarttags" w:element="place">
              <w:smartTag w:uri="urn:schemas-microsoft-com:office:smarttags" w:element="country-region">
                <w:r w:rsidRPr="00A03F05">
                  <w:rPr>
                    <w:b/>
                    <w:color w:val="000000"/>
                    <w:sz w:val="26"/>
                    <w:szCs w:val="26"/>
                  </w:rPr>
                  <w:t>NAM</w:t>
                </w:r>
              </w:smartTag>
            </w:smartTag>
          </w:p>
        </w:tc>
      </w:tr>
      <w:tr w:rsidR="007A387E" w:rsidRPr="00A03F05" w:rsidTr="00EB14E9">
        <w:trPr>
          <w:trHeight w:val="384"/>
        </w:trPr>
        <w:tc>
          <w:tcPr>
            <w:tcW w:w="3420" w:type="dxa"/>
          </w:tcPr>
          <w:p w:rsidR="007A387E" w:rsidRPr="00A03F05" w:rsidRDefault="00277E31" w:rsidP="007A387E">
            <w:pPr>
              <w:spacing w:after="0" w:line="240" w:lineRule="auto"/>
              <w:jc w:val="center"/>
              <w:rPr>
                <w:b/>
                <w:color w:val="000000"/>
                <w:sz w:val="26"/>
                <w:szCs w:val="26"/>
              </w:rPr>
            </w:pPr>
            <w:r>
              <w:rPr>
                <w:b/>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4.95pt;margin-top:15.5pt;width:48.8pt;height:.05pt;z-index:251660288;mso-position-horizontal-relative:text;mso-position-vertical-relative:text" o:connectortype="straight"/>
              </w:pict>
            </w:r>
            <w:r w:rsidR="007A387E" w:rsidRPr="00A03F05">
              <w:rPr>
                <w:b/>
                <w:color w:val="000000"/>
                <w:sz w:val="26"/>
                <w:szCs w:val="26"/>
              </w:rPr>
              <w:t>SỞ TÀI CHÍNH</w:t>
            </w:r>
          </w:p>
        </w:tc>
        <w:tc>
          <w:tcPr>
            <w:tcW w:w="5760" w:type="dxa"/>
          </w:tcPr>
          <w:p w:rsidR="007A387E" w:rsidRPr="007A387E" w:rsidRDefault="007A387E" w:rsidP="007A387E">
            <w:pPr>
              <w:spacing w:after="0" w:line="240" w:lineRule="auto"/>
              <w:jc w:val="center"/>
              <w:rPr>
                <w:b/>
                <w:color w:val="000000"/>
                <w:sz w:val="28"/>
                <w:szCs w:val="28"/>
              </w:rPr>
            </w:pPr>
            <w:r w:rsidRPr="007A387E">
              <w:rPr>
                <w:b/>
                <w:color w:val="000000"/>
                <w:sz w:val="28"/>
                <w:szCs w:val="28"/>
              </w:rPr>
              <w:t>Độc lập - Tự do - Hạnh phúc</w:t>
            </w:r>
          </w:p>
          <w:p w:rsidR="007A387E" w:rsidRPr="00A03F05" w:rsidRDefault="00277E31" w:rsidP="007A387E">
            <w:pPr>
              <w:spacing w:after="0" w:line="240" w:lineRule="auto"/>
              <w:jc w:val="center"/>
              <w:rPr>
                <w:b/>
                <w:color w:val="000000"/>
                <w:sz w:val="26"/>
                <w:szCs w:val="26"/>
              </w:rPr>
            </w:pPr>
            <w:r>
              <w:rPr>
                <w:b/>
                <w:noProof/>
                <w:color w:val="000000"/>
                <w:sz w:val="26"/>
                <w:szCs w:val="26"/>
              </w:rPr>
              <w:pict>
                <v:shape id="_x0000_s1027" type="#_x0000_t32" style="position:absolute;left:0;text-align:left;margin-left:61pt;margin-top:1pt;width:155.25pt;height:0;z-index:251661312" o:connectortype="straight"/>
              </w:pict>
            </w:r>
          </w:p>
        </w:tc>
      </w:tr>
      <w:tr w:rsidR="007A387E" w:rsidRPr="00A03F05" w:rsidTr="00EB14E9">
        <w:trPr>
          <w:trHeight w:val="218"/>
        </w:trPr>
        <w:tc>
          <w:tcPr>
            <w:tcW w:w="3420" w:type="dxa"/>
          </w:tcPr>
          <w:p w:rsidR="007A387E" w:rsidRPr="005B727A" w:rsidRDefault="007A387E" w:rsidP="007A387E">
            <w:pPr>
              <w:spacing w:after="0" w:line="240" w:lineRule="auto"/>
              <w:jc w:val="center"/>
              <w:rPr>
                <w:color w:val="000000"/>
                <w:sz w:val="26"/>
                <w:szCs w:val="26"/>
              </w:rPr>
            </w:pPr>
            <w:r w:rsidRPr="00A03F05">
              <w:rPr>
                <w:color w:val="000000"/>
                <w:sz w:val="26"/>
                <w:szCs w:val="26"/>
                <w:lang w:val="vi-VN"/>
              </w:rPr>
              <w:t>Số:</w:t>
            </w:r>
            <w:r>
              <w:rPr>
                <w:color w:val="000000"/>
                <w:sz w:val="26"/>
                <w:szCs w:val="26"/>
              </w:rPr>
              <w:t xml:space="preserve">      </w:t>
            </w:r>
            <w:r>
              <w:rPr>
                <w:color w:val="000000"/>
                <w:sz w:val="26"/>
                <w:szCs w:val="26"/>
                <w:lang w:val="vi-VN"/>
              </w:rPr>
              <w:t xml:space="preserve"> /</w:t>
            </w:r>
            <w:r>
              <w:rPr>
                <w:color w:val="000000"/>
                <w:sz w:val="26"/>
                <w:szCs w:val="26"/>
              </w:rPr>
              <w:t>TTr-</w:t>
            </w:r>
            <w:r>
              <w:rPr>
                <w:color w:val="000000"/>
                <w:sz w:val="26"/>
                <w:szCs w:val="26"/>
                <w:lang w:val="vi-VN"/>
              </w:rPr>
              <w:t>STC</w:t>
            </w:r>
          </w:p>
        </w:tc>
        <w:tc>
          <w:tcPr>
            <w:tcW w:w="5760" w:type="dxa"/>
          </w:tcPr>
          <w:p w:rsidR="007A387E" w:rsidRPr="00471948" w:rsidRDefault="007A387E" w:rsidP="007A387E">
            <w:pPr>
              <w:spacing w:after="0" w:line="240" w:lineRule="auto"/>
              <w:jc w:val="center"/>
              <w:rPr>
                <w:i/>
                <w:color w:val="000000"/>
                <w:sz w:val="26"/>
                <w:szCs w:val="26"/>
              </w:rPr>
            </w:pPr>
            <w:r>
              <w:rPr>
                <w:i/>
                <w:color w:val="000000"/>
                <w:sz w:val="26"/>
                <w:szCs w:val="26"/>
              </w:rPr>
              <w:t>Hà Nam</w:t>
            </w:r>
            <w:r w:rsidRPr="00A03F05">
              <w:rPr>
                <w:i/>
                <w:color w:val="000000"/>
                <w:sz w:val="26"/>
                <w:szCs w:val="26"/>
                <w:lang w:val="vi-VN"/>
              </w:rPr>
              <w:t xml:space="preserve">, ngày </w:t>
            </w:r>
            <w:r>
              <w:rPr>
                <w:i/>
                <w:color w:val="000000"/>
                <w:sz w:val="26"/>
                <w:szCs w:val="26"/>
              </w:rPr>
              <w:t xml:space="preserve">    </w:t>
            </w:r>
            <w:r>
              <w:rPr>
                <w:i/>
                <w:color w:val="000000"/>
                <w:sz w:val="26"/>
                <w:szCs w:val="26"/>
                <w:lang w:val="vi-VN"/>
              </w:rPr>
              <w:t xml:space="preserve"> tháng </w:t>
            </w:r>
            <w:r>
              <w:rPr>
                <w:i/>
                <w:color w:val="000000"/>
                <w:sz w:val="26"/>
                <w:szCs w:val="26"/>
              </w:rPr>
              <w:t xml:space="preserve">   </w:t>
            </w:r>
            <w:r w:rsidRPr="00A03F05">
              <w:rPr>
                <w:i/>
                <w:color w:val="000000"/>
                <w:sz w:val="26"/>
                <w:szCs w:val="26"/>
                <w:lang w:val="vi-VN"/>
              </w:rPr>
              <w:t xml:space="preserve"> năm 20</w:t>
            </w:r>
            <w:r>
              <w:rPr>
                <w:i/>
                <w:color w:val="000000"/>
                <w:sz w:val="26"/>
                <w:szCs w:val="26"/>
              </w:rPr>
              <w:t>20</w:t>
            </w:r>
          </w:p>
        </w:tc>
      </w:tr>
    </w:tbl>
    <w:p w:rsidR="007A387E" w:rsidRDefault="007A387E" w:rsidP="00627D14">
      <w:pPr>
        <w:tabs>
          <w:tab w:val="left" w:pos="175"/>
        </w:tabs>
        <w:spacing w:after="0" w:line="240" w:lineRule="auto"/>
        <w:ind w:left="29"/>
        <w:rPr>
          <w:b/>
          <w:i/>
          <w:color w:val="000000"/>
          <w:sz w:val="2"/>
          <w:szCs w:val="2"/>
        </w:rPr>
      </w:pPr>
      <w:r w:rsidRPr="00A03F05">
        <w:rPr>
          <w:b/>
          <w:color w:val="000000"/>
          <w:lang w:val="vi-VN"/>
        </w:rPr>
        <w:t xml:space="preserve">       </w:t>
      </w:r>
      <w:r w:rsidRPr="00250C25">
        <w:rPr>
          <w:b/>
          <w:color w:val="000000"/>
          <w:lang w:val="vi-VN"/>
        </w:rPr>
        <w:t xml:space="preserve">   </w:t>
      </w:r>
      <w:r w:rsidRPr="00250C25">
        <w:rPr>
          <w:b/>
          <w:color w:val="000000"/>
          <w:sz w:val="34"/>
          <w:lang w:val="vi-VN"/>
        </w:rPr>
        <w:t xml:space="preserve"> </w:t>
      </w:r>
      <w:r>
        <w:rPr>
          <w:b/>
          <w:color w:val="000000"/>
          <w:sz w:val="34"/>
        </w:rPr>
        <w:t xml:space="preserve">       </w:t>
      </w:r>
      <w:r w:rsidRPr="007A387E">
        <w:rPr>
          <w:b/>
          <w:i/>
          <w:color w:val="000000"/>
          <w:sz w:val="28"/>
          <w:szCs w:val="28"/>
        </w:rPr>
        <w:t>Dự thảo</w:t>
      </w:r>
    </w:p>
    <w:p w:rsidR="00627D14" w:rsidRDefault="00627D14" w:rsidP="00627D14">
      <w:pPr>
        <w:tabs>
          <w:tab w:val="left" w:pos="175"/>
        </w:tabs>
        <w:spacing w:after="0" w:line="240" w:lineRule="auto"/>
        <w:ind w:left="29"/>
        <w:rPr>
          <w:b/>
          <w:i/>
          <w:color w:val="000000"/>
          <w:sz w:val="2"/>
          <w:szCs w:val="2"/>
        </w:rPr>
      </w:pPr>
    </w:p>
    <w:p w:rsidR="00627D14" w:rsidRDefault="00627D14" w:rsidP="00627D14">
      <w:pPr>
        <w:tabs>
          <w:tab w:val="left" w:pos="175"/>
        </w:tabs>
        <w:spacing w:after="0" w:line="240" w:lineRule="auto"/>
        <w:ind w:left="29"/>
        <w:rPr>
          <w:b/>
          <w:i/>
          <w:color w:val="000000"/>
          <w:sz w:val="2"/>
          <w:szCs w:val="2"/>
        </w:rPr>
      </w:pPr>
    </w:p>
    <w:p w:rsidR="00627D14" w:rsidRDefault="00627D14" w:rsidP="00627D14">
      <w:pPr>
        <w:tabs>
          <w:tab w:val="left" w:pos="175"/>
        </w:tabs>
        <w:spacing w:after="0" w:line="240" w:lineRule="auto"/>
        <w:ind w:left="29"/>
        <w:rPr>
          <w:b/>
          <w:i/>
          <w:color w:val="000000"/>
          <w:sz w:val="2"/>
          <w:szCs w:val="2"/>
        </w:rPr>
      </w:pPr>
    </w:p>
    <w:p w:rsidR="00627D14" w:rsidRDefault="00627D14" w:rsidP="00627D14">
      <w:pPr>
        <w:tabs>
          <w:tab w:val="left" w:pos="175"/>
        </w:tabs>
        <w:spacing w:after="0" w:line="240" w:lineRule="auto"/>
        <w:ind w:left="29"/>
        <w:rPr>
          <w:b/>
          <w:i/>
          <w:color w:val="000000"/>
          <w:sz w:val="2"/>
          <w:szCs w:val="2"/>
        </w:rPr>
      </w:pPr>
    </w:p>
    <w:p w:rsidR="00627D14" w:rsidRDefault="00627D14" w:rsidP="00627D14">
      <w:pPr>
        <w:tabs>
          <w:tab w:val="left" w:pos="175"/>
        </w:tabs>
        <w:spacing w:after="0" w:line="240" w:lineRule="auto"/>
        <w:ind w:left="29"/>
        <w:rPr>
          <w:b/>
          <w:i/>
          <w:color w:val="000000"/>
          <w:sz w:val="2"/>
          <w:szCs w:val="2"/>
        </w:rPr>
      </w:pPr>
    </w:p>
    <w:p w:rsidR="00627D14" w:rsidRDefault="00627D14" w:rsidP="00627D14">
      <w:pPr>
        <w:tabs>
          <w:tab w:val="left" w:pos="175"/>
        </w:tabs>
        <w:spacing w:after="0" w:line="240" w:lineRule="auto"/>
        <w:ind w:left="29"/>
        <w:rPr>
          <w:b/>
          <w:i/>
          <w:color w:val="000000"/>
          <w:sz w:val="2"/>
          <w:szCs w:val="2"/>
        </w:rPr>
      </w:pPr>
    </w:p>
    <w:p w:rsidR="00627D14" w:rsidRPr="00627D14" w:rsidRDefault="00627D14" w:rsidP="00627D14">
      <w:pPr>
        <w:tabs>
          <w:tab w:val="left" w:pos="175"/>
        </w:tabs>
        <w:spacing w:after="0" w:line="240" w:lineRule="auto"/>
        <w:ind w:left="29"/>
        <w:rPr>
          <w:b/>
          <w:i/>
          <w:color w:val="000000"/>
          <w:sz w:val="2"/>
          <w:szCs w:val="2"/>
        </w:rPr>
      </w:pPr>
    </w:p>
    <w:p w:rsidR="007A387E" w:rsidRPr="007A387E" w:rsidRDefault="007A387E" w:rsidP="007A387E">
      <w:pPr>
        <w:tabs>
          <w:tab w:val="left" w:pos="175"/>
        </w:tabs>
        <w:spacing w:after="0" w:line="240" w:lineRule="auto"/>
        <w:ind w:left="33"/>
        <w:jc w:val="center"/>
        <w:rPr>
          <w:b/>
          <w:color w:val="000000"/>
          <w:sz w:val="28"/>
          <w:szCs w:val="28"/>
        </w:rPr>
      </w:pPr>
      <w:r w:rsidRPr="007A387E">
        <w:rPr>
          <w:b/>
          <w:color w:val="000000"/>
          <w:sz w:val="28"/>
          <w:szCs w:val="28"/>
        </w:rPr>
        <w:t>TỜ TRÌNH</w:t>
      </w:r>
    </w:p>
    <w:p w:rsidR="007A387E" w:rsidRPr="007A387E" w:rsidRDefault="007A387E" w:rsidP="007A387E">
      <w:pPr>
        <w:tabs>
          <w:tab w:val="left" w:pos="175"/>
        </w:tabs>
        <w:spacing w:after="0" w:line="240" w:lineRule="auto"/>
        <w:jc w:val="center"/>
        <w:rPr>
          <w:rFonts w:ascii="Times New Roman Bold" w:hAnsi="Times New Roman Bold"/>
          <w:b/>
          <w:color w:val="000000"/>
          <w:spacing w:val="-6"/>
          <w:sz w:val="27"/>
          <w:szCs w:val="27"/>
        </w:rPr>
      </w:pPr>
      <w:r w:rsidRPr="007A387E">
        <w:rPr>
          <w:rFonts w:ascii="Times New Roman Bold" w:hAnsi="Times New Roman Bold"/>
          <w:b/>
          <w:color w:val="000000"/>
          <w:spacing w:val="-6"/>
          <w:sz w:val="27"/>
          <w:szCs w:val="27"/>
        </w:rPr>
        <w:t>Về việc quy định về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w:t>
      </w:r>
    </w:p>
    <w:p w:rsidR="007A387E" w:rsidRPr="00627D14" w:rsidRDefault="00277E31" w:rsidP="00627D14">
      <w:pPr>
        <w:tabs>
          <w:tab w:val="left" w:pos="175"/>
        </w:tabs>
        <w:spacing w:after="0" w:line="240" w:lineRule="auto"/>
        <w:ind w:left="33"/>
        <w:jc w:val="center"/>
        <w:rPr>
          <w:b/>
          <w:color w:val="000000"/>
          <w:sz w:val="28"/>
          <w:szCs w:val="28"/>
        </w:rPr>
      </w:pPr>
      <w:r>
        <w:rPr>
          <w:b/>
          <w:noProof/>
          <w:color w:val="000000"/>
          <w:sz w:val="28"/>
          <w:szCs w:val="28"/>
        </w:rPr>
        <w:pict>
          <v:shape id="_x0000_s1028" type="#_x0000_t32" style="position:absolute;left:0;text-align:left;margin-left:157.75pt;margin-top:1.9pt;width:160.9pt;height:0;z-index:251662336" o:connectortype="straight"/>
        </w:pict>
      </w:r>
      <w:r w:rsidR="007A387E" w:rsidRPr="005B727A">
        <w:rPr>
          <w:b/>
          <w:color w:val="000000"/>
          <w:sz w:val="28"/>
          <w:szCs w:val="28"/>
        </w:rPr>
        <w:t xml:space="preserve"> </w:t>
      </w:r>
    </w:p>
    <w:p w:rsidR="007A387E" w:rsidRPr="00627D14" w:rsidRDefault="007A387E" w:rsidP="00627D14">
      <w:pPr>
        <w:tabs>
          <w:tab w:val="left" w:pos="175"/>
        </w:tabs>
        <w:spacing w:after="0" w:line="240" w:lineRule="auto"/>
        <w:ind w:left="33"/>
        <w:jc w:val="center"/>
        <w:rPr>
          <w:color w:val="000000"/>
          <w:sz w:val="28"/>
          <w:szCs w:val="28"/>
        </w:rPr>
      </w:pPr>
      <w:r>
        <w:rPr>
          <w:color w:val="000000"/>
          <w:sz w:val="28"/>
          <w:szCs w:val="28"/>
        </w:rPr>
        <w:t>Kính gửi: Uỷ ban nhân dân tỉnh Hà Nam.</w:t>
      </w:r>
    </w:p>
    <w:p w:rsidR="007A387E" w:rsidRPr="0009785A" w:rsidRDefault="007A387E" w:rsidP="007A387E">
      <w:pPr>
        <w:tabs>
          <w:tab w:val="left" w:pos="175"/>
        </w:tabs>
        <w:spacing w:after="0" w:line="240" w:lineRule="auto"/>
        <w:ind w:left="33"/>
        <w:jc w:val="both"/>
        <w:rPr>
          <w:color w:val="000000"/>
          <w:sz w:val="12"/>
          <w:szCs w:val="28"/>
        </w:rPr>
      </w:pPr>
      <w:r w:rsidRPr="00A03F05">
        <w:rPr>
          <w:color w:val="000000"/>
          <w:sz w:val="28"/>
          <w:szCs w:val="28"/>
          <w:lang w:val="vi-VN"/>
        </w:rPr>
        <w:tab/>
      </w:r>
      <w:r>
        <w:rPr>
          <w:color w:val="000000"/>
          <w:sz w:val="28"/>
          <w:szCs w:val="28"/>
          <w:lang w:val="vi-VN"/>
        </w:rPr>
        <w:tab/>
      </w:r>
    </w:p>
    <w:p w:rsidR="00943887" w:rsidRDefault="00943887" w:rsidP="00943887">
      <w:pPr>
        <w:spacing w:after="0" w:line="288" w:lineRule="auto"/>
        <w:ind w:firstLine="720"/>
        <w:jc w:val="both"/>
        <w:rPr>
          <w:sz w:val="2"/>
          <w:szCs w:val="2"/>
        </w:rPr>
      </w:pPr>
    </w:p>
    <w:p w:rsidR="00943887" w:rsidRDefault="00943887" w:rsidP="00943887">
      <w:pPr>
        <w:spacing w:after="0" w:line="288" w:lineRule="auto"/>
        <w:ind w:firstLine="720"/>
        <w:jc w:val="both"/>
        <w:rPr>
          <w:sz w:val="2"/>
          <w:szCs w:val="2"/>
        </w:rPr>
      </w:pPr>
    </w:p>
    <w:p w:rsidR="00943887" w:rsidRDefault="00943887" w:rsidP="00943887">
      <w:pPr>
        <w:spacing w:after="0" w:line="288" w:lineRule="auto"/>
        <w:ind w:firstLine="720"/>
        <w:jc w:val="both"/>
        <w:rPr>
          <w:sz w:val="2"/>
          <w:szCs w:val="2"/>
        </w:rPr>
      </w:pPr>
    </w:p>
    <w:p w:rsidR="00943887" w:rsidRDefault="00943887" w:rsidP="00943887">
      <w:pPr>
        <w:spacing w:after="0" w:line="288" w:lineRule="auto"/>
        <w:ind w:firstLine="720"/>
        <w:jc w:val="both"/>
        <w:rPr>
          <w:sz w:val="2"/>
          <w:szCs w:val="2"/>
        </w:rPr>
      </w:pPr>
    </w:p>
    <w:p w:rsidR="00943887" w:rsidRDefault="00943887" w:rsidP="00943887">
      <w:pPr>
        <w:spacing w:after="0" w:line="288" w:lineRule="auto"/>
        <w:ind w:firstLine="720"/>
        <w:jc w:val="both"/>
        <w:rPr>
          <w:sz w:val="2"/>
          <w:szCs w:val="2"/>
        </w:rPr>
      </w:pPr>
    </w:p>
    <w:p w:rsidR="00943887" w:rsidRDefault="00943887" w:rsidP="00943887">
      <w:pPr>
        <w:spacing w:after="0" w:line="288" w:lineRule="auto"/>
        <w:ind w:firstLine="720"/>
        <w:jc w:val="both"/>
        <w:rPr>
          <w:sz w:val="2"/>
          <w:szCs w:val="2"/>
        </w:rPr>
      </w:pPr>
    </w:p>
    <w:p w:rsidR="007A387E" w:rsidRPr="008344EC" w:rsidRDefault="007A387E" w:rsidP="00943887">
      <w:pPr>
        <w:spacing w:after="0"/>
        <w:ind w:firstLine="720"/>
        <w:jc w:val="both"/>
        <w:rPr>
          <w:i/>
          <w:sz w:val="28"/>
          <w:szCs w:val="28"/>
        </w:rPr>
      </w:pPr>
      <w:r w:rsidRPr="008344EC">
        <w:rPr>
          <w:i/>
          <w:sz w:val="28"/>
          <w:szCs w:val="28"/>
        </w:rPr>
        <w:t>Căn cứ Luật Tổ chức chính quyền địa phương ngày 19/6/2015;</w:t>
      </w:r>
    </w:p>
    <w:p w:rsidR="00627D14" w:rsidRPr="008344EC" w:rsidRDefault="00627D14" w:rsidP="00943887">
      <w:pPr>
        <w:spacing w:after="0"/>
        <w:ind w:firstLine="720"/>
        <w:jc w:val="both"/>
        <w:rPr>
          <w:i/>
          <w:sz w:val="28"/>
          <w:szCs w:val="28"/>
        </w:rPr>
      </w:pPr>
      <w:r w:rsidRPr="008344EC">
        <w:rPr>
          <w:i/>
          <w:sz w:val="28"/>
          <w:szCs w:val="28"/>
        </w:rPr>
        <w:t>Căn cứ Luật sửa đổi, bổ sung một số điều của Luật Tổ chức Chính phủ và Luật Tổ chức chính quyền địa phương ngày 22 tháng 11 năm 2019;</w:t>
      </w:r>
    </w:p>
    <w:p w:rsidR="007A387E" w:rsidRPr="008344EC" w:rsidRDefault="007A387E" w:rsidP="00943887">
      <w:pPr>
        <w:spacing w:after="0"/>
        <w:ind w:firstLine="720"/>
        <w:jc w:val="both"/>
        <w:rPr>
          <w:i/>
          <w:sz w:val="28"/>
          <w:szCs w:val="28"/>
        </w:rPr>
      </w:pPr>
      <w:r w:rsidRPr="008344EC">
        <w:rPr>
          <w:i/>
          <w:sz w:val="28"/>
          <w:szCs w:val="28"/>
        </w:rPr>
        <w:t>Căn cứ Luật Đất đai ngày 29 tháng 11 năm 2013;</w:t>
      </w:r>
    </w:p>
    <w:p w:rsidR="007A387E" w:rsidRPr="008344EC" w:rsidRDefault="007A387E" w:rsidP="00943887">
      <w:pPr>
        <w:spacing w:after="0"/>
        <w:ind w:firstLine="720"/>
        <w:jc w:val="both"/>
        <w:rPr>
          <w:i/>
          <w:sz w:val="28"/>
          <w:szCs w:val="28"/>
        </w:rPr>
      </w:pPr>
      <w:r w:rsidRPr="008344EC">
        <w:rPr>
          <w:i/>
          <w:sz w:val="28"/>
          <w:szCs w:val="28"/>
        </w:rPr>
        <w:t>Căn cứ Nghị định số 46/2014/NĐ-CP ngày 15/5/2014 của Chính phủ quy định về thu tiền thuê đất, thuê mặt nước;</w:t>
      </w:r>
    </w:p>
    <w:p w:rsidR="007A387E" w:rsidRPr="008344EC" w:rsidRDefault="007A387E" w:rsidP="00943887">
      <w:pPr>
        <w:spacing w:after="0"/>
        <w:ind w:firstLine="720"/>
        <w:jc w:val="both"/>
        <w:rPr>
          <w:i/>
          <w:sz w:val="28"/>
          <w:szCs w:val="28"/>
        </w:rPr>
      </w:pPr>
      <w:r w:rsidRPr="008344EC">
        <w:rPr>
          <w:i/>
          <w:sz w:val="28"/>
          <w:szCs w:val="28"/>
        </w:rPr>
        <w:t>Căn cứ Nghị định số 135/2016/NĐ-CP ngày 09/9/2016 của Chính phủ về việc sửa đổi, bổ sung các Nghị định quy định về thu tiền sử dụng đất, thu tiền thuê đất, thuê mặt nước;</w:t>
      </w:r>
    </w:p>
    <w:p w:rsidR="007A387E" w:rsidRPr="008344EC" w:rsidRDefault="007A387E" w:rsidP="00943887">
      <w:pPr>
        <w:spacing w:after="0"/>
        <w:ind w:firstLine="720"/>
        <w:jc w:val="both"/>
        <w:rPr>
          <w:i/>
          <w:sz w:val="28"/>
          <w:szCs w:val="28"/>
        </w:rPr>
      </w:pPr>
      <w:r w:rsidRPr="008344EC">
        <w:rPr>
          <w:i/>
          <w:sz w:val="28"/>
          <w:szCs w:val="28"/>
        </w:rPr>
        <w:t>Căn cứ Nghị định số 123/2017/NĐ-CP ngày 14/11/2017 của Chính phủ về việc sửa đổi, bổ sung một số Nghị định quy định về thu tiền sử dụng đất, thu tiền thuê đất, thuê mặt nước;</w:t>
      </w:r>
    </w:p>
    <w:p w:rsidR="007A387E" w:rsidRPr="008344EC" w:rsidRDefault="007A387E" w:rsidP="00943887">
      <w:pPr>
        <w:spacing w:after="0"/>
        <w:ind w:firstLine="720"/>
        <w:jc w:val="both"/>
        <w:rPr>
          <w:i/>
          <w:sz w:val="28"/>
          <w:szCs w:val="28"/>
        </w:rPr>
      </w:pPr>
      <w:r w:rsidRPr="008344EC">
        <w:rPr>
          <w:i/>
          <w:sz w:val="28"/>
          <w:szCs w:val="28"/>
        </w:rPr>
        <w:t>Căn cứ Thông tư số 77/2014/TT-BTC ngày 16/6/2014 của Bộ Tài chính hướng dẫn một số điều của Nghị định số 46/2014/NĐ-CP ngày 15 tháng 5 năm 2014 của Chính phủ quy định về thu tiền thuê đất, thuê mặt nước;</w:t>
      </w:r>
    </w:p>
    <w:p w:rsidR="007A387E" w:rsidRPr="008344EC" w:rsidRDefault="007A387E" w:rsidP="00943887">
      <w:pPr>
        <w:spacing w:after="0"/>
        <w:ind w:firstLine="720"/>
        <w:jc w:val="both"/>
        <w:rPr>
          <w:i/>
          <w:sz w:val="28"/>
          <w:szCs w:val="28"/>
        </w:rPr>
      </w:pPr>
      <w:r w:rsidRPr="008344EC">
        <w:rPr>
          <w:i/>
          <w:sz w:val="28"/>
          <w:szCs w:val="28"/>
        </w:rPr>
        <w:t>Căn cứ Thông tư số 333/2016/TT-BTC ngày 26/12/2016 của Bộ Tài chính về việc sửa đổi, bổ sung một số điều của Thông tư số 77/2014/TT- BTC ngày 16/6/2014 hướng dẫn một số điều của Nghị định số 46/2014/NĐ-CP ngày 15/5/2014 của Chính phủ quy định về thu tiền thuê đất, thuê mặt nước;</w:t>
      </w:r>
    </w:p>
    <w:p w:rsidR="007A387E" w:rsidRPr="00943887" w:rsidRDefault="007A387E" w:rsidP="00943887">
      <w:pPr>
        <w:spacing w:after="0"/>
        <w:ind w:firstLine="720"/>
        <w:jc w:val="both"/>
        <w:rPr>
          <w:sz w:val="28"/>
          <w:szCs w:val="28"/>
        </w:rPr>
      </w:pPr>
      <w:r w:rsidRPr="008344EC">
        <w:rPr>
          <w:i/>
          <w:sz w:val="28"/>
          <w:szCs w:val="28"/>
        </w:rPr>
        <w:t>Căn cứ Thông tư số 11/2018/TT-BTC ngày 30/01/2018 của Bộ Tài chính về sửa đổi, bổ sung một số điều của Thông tư số 77/2014/TT-BTC ngày 16 tháng 6 năm 2014 của Bộ Tài chính hướng dẫn một số điều của Nghị định số 46/2014/NĐ-CP ngày 15 tháng 5 năm 2014 của Chính phủ quy định về thu tiền thuê đất, thuê mặt nước,</w:t>
      </w:r>
    </w:p>
    <w:p w:rsidR="007A387E" w:rsidRPr="00627D14" w:rsidRDefault="007A387E" w:rsidP="00943887">
      <w:pPr>
        <w:spacing w:after="0"/>
        <w:ind w:firstLine="720"/>
        <w:jc w:val="both"/>
        <w:rPr>
          <w:spacing w:val="-4"/>
          <w:sz w:val="28"/>
          <w:szCs w:val="28"/>
        </w:rPr>
      </w:pPr>
      <w:r w:rsidRPr="00627D14">
        <w:rPr>
          <w:spacing w:val="-4"/>
          <w:sz w:val="28"/>
          <w:szCs w:val="28"/>
        </w:rPr>
        <w:t>Sở Tài chính kính trình Uỷ ban nhân dân tỉnh ban hành Quyết định về việc quy định về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 như sau:</w:t>
      </w:r>
    </w:p>
    <w:p w:rsidR="007A387E" w:rsidRDefault="007A387E" w:rsidP="00943887">
      <w:pPr>
        <w:spacing w:after="0"/>
        <w:ind w:firstLine="720"/>
        <w:jc w:val="both"/>
        <w:rPr>
          <w:b/>
          <w:sz w:val="28"/>
          <w:szCs w:val="28"/>
        </w:rPr>
      </w:pPr>
      <w:r w:rsidRPr="007A387E">
        <w:rPr>
          <w:b/>
          <w:sz w:val="28"/>
          <w:szCs w:val="28"/>
        </w:rPr>
        <w:lastRenderedPageBreak/>
        <w:t>I. Sự cần thiết</w:t>
      </w:r>
      <w:r>
        <w:rPr>
          <w:b/>
          <w:sz w:val="28"/>
          <w:szCs w:val="28"/>
        </w:rPr>
        <w:t xml:space="preserve"> ban hành</w:t>
      </w:r>
      <w:r w:rsidRPr="007A387E">
        <w:rPr>
          <w:b/>
          <w:sz w:val="28"/>
          <w:szCs w:val="28"/>
        </w:rPr>
        <w:t>.</w:t>
      </w:r>
    </w:p>
    <w:p w:rsidR="007A387E" w:rsidRPr="00627D14" w:rsidRDefault="007A387E" w:rsidP="00943887">
      <w:pPr>
        <w:spacing w:after="0"/>
        <w:ind w:firstLine="720"/>
        <w:jc w:val="both"/>
        <w:rPr>
          <w:spacing w:val="4"/>
          <w:sz w:val="28"/>
          <w:szCs w:val="28"/>
        </w:rPr>
      </w:pPr>
      <w:r w:rsidRPr="00627D14">
        <w:rPr>
          <w:spacing w:val="6"/>
          <w:sz w:val="28"/>
          <w:szCs w:val="28"/>
        </w:rPr>
        <w:t>Năm 2014, Sở Tài chính</w:t>
      </w:r>
      <w:r w:rsidRPr="00627D14">
        <w:rPr>
          <w:b/>
          <w:spacing w:val="6"/>
          <w:sz w:val="28"/>
          <w:szCs w:val="28"/>
        </w:rPr>
        <w:t xml:space="preserve"> </w:t>
      </w:r>
      <w:r w:rsidRPr="00627D14">
        <w:rPr>
          <w:spacing w:val="6"/>
          <w:sz w:val="28"/>
          <w:szCs w:val="28"/>
        </w:rPr>
        <w:t>đã tham mưu UBND tỉnh ban hành Quyết định số 56/2014/QĐ-UBND ngày 31 tháng 12 năm 2014 Về việc quy định về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 và được sửa đổi, bổ sung tại Quyết định số Quyết định số 13/2016/QĐ-UBND ngày 13/5/2016</w:t>
      </w:r>
      <w:r w:rsidR="00943887" w:rsidRPr="00627D14">
        <w:rPr>
          <w:spacing w:val="4"/>
          <w:sz w:val="28"/>
          <w:szCs w:val="28"/>
        </w:rPr>
        <w:t>.</w:t>
      </w:r>
    </w:p>
    <w:p w:rsidR="007A387E" w:rsidRPr="00627D14" w:rsidRDefault="00943887" w:rsidP="00711398">
      <w:pPr>
        <w:spacing w:after="0"/>
        <w:ind w:firstLine="720"/>
        <w:jc w:val="both"/>
        <w:rPr>
          <w:spacing w:val="4"/>
          <w:sz w:val="28"/>
          <w:szCs w:val="28"/>
        </w:rPr>
      </w:pPr>
      <w:r w:rsidRPr="00627D14">
        <w:rPr>
          <w:spacing w:val="4"/>
          <w:sz w:val="28"/>
          <w:szCs w:val="28"/>
        </w:rPr>
        <w:t>Qua 6 năm triển khai thực hiện, về cơ bản các cơ quan, đơn vị trên địa bàn đã nghiêm túc thực hiện đúng Quyết định.</w:t>
      </w:r>
      <w:r w:rsidR="00711398" w:rsidRPr="00627D14">
        <w:rPr>
          <w:spacing w:val="4"/>
          <w:sz w:val="28"/>
          <w:szCs w:val="28"/>
        </w:rPr>
        <w:t xml:space="preserve"> </w:t>
      </w:r>
      <w:r w:rsidRPr="00627D14">
        <w:rPr>
          <w:spacing w:val="4"/>
          <w:sz w:val="28"/>
          <w:szCs w:val="28"/>
        </w:rPr>
        <w:t xml:space="preserve">Tuy nhiên, do xuất phát từ tình hình thực tế, có sự thay đổi về địa giới hành chính và các căn cứ pháp lý ban hành Quyết định có </w:t>
      </w:r>
      <w:r w:rsidR="00711398" w:rsidRPr="00627D14">
        <w:rPr>
          <w:spacing w:val="4"/>
          <w:sz w:val="28"/>
          <w:szCs w:val="28"/>
        </w:rPr>
        <w:t>c</w:t>
      </w:r>
      <w:r w:rsidRPr="00627D14">
        <w:rPr>
          <w:spacing w:val="4"/>
          <w:sz w:val="28"/>
          <w:szCs w:val="28"/>
        </w:rPr>
        <w:t xml:space="preserve">ăn cứ đã hết hiệu lực và được sửa đổi, bổ sung; </w:t>
      </w:r>
      <w:r w:rsidR="007A387E" w:rsidRPr="00627D14">
        <w:rPr>
          <w:spacing w:val="4"/>
          <w:sz w:val="28"/>
          <w:szCs w:val="28"/>
        </w:rPr>
        <w:t xml:space="preserve">việc </w:t>
      </w:r>
      <w:r w:rsidRPr="00627D14">
        <w:rPr>
          <w:spacing w:val="4"/>
          <w:sz w:val="28"/>
          <w:szCs w:val="28"/>
        </w:rPr>
        <w:t>ban hành Quyết định về việc quy định về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w:t>
      </w:r>
      <w:r w:rsidRPr="00627D14">
        <w:rPr>
          <w:rFonts w:ascii="Times New Roman Bold" w:hAnsi="Times New Roman Bold"/>
          <w:b/>
          <w:color w:val="000000"/>
          <w:spacing w:val="4"/>
          <w:sz w:val="27"/>
          <w:szCs w:val="27"/>
        </w:rPr>
        <w:t xml:space="preserve"> </w:t>
      </w:r>
      <w:r w:rsidRPr="00627D14">
        <w:rPr>
          <w:spacing w:val="4"/>
          <w:sz w:val="28"/>
          <w:szCs w:val="28"/>
        </w:rPr>
        <w:t>thay thế Quyết định số 56/2014/QĐ-UBND ngày 31 tháng 12 năm 2014 và Quyết định số 13/2016/QĐ-UBND ngày 13</w:t>
      </w:r>
      <w:r w:rsidR="00711398" w:rsidRPr="00627D14">
        <w:rPr>
          <w:spacing w:val="4"/>
          <w:sz w:val="28"/>
          <w:szCs w:val="28"/>
        </w:rPr>
        <w:t xml:space="preserve"> tháng 5 năm </w:t>
      </w:r>
      <w:r w:rsidRPr="00627D14">
        <w:rPr>
          <w:spacing w:val="4"/>
          <w:sz w:val="28"/>
          <w:szCs w:val="28"/>
        </w:rPr>
        <w:t>2016 của Ủy ban nhân dân tỉnh Hà Nam là cần thiết và phù hợp để làm căn cứ  cho các cơ quan, tổ chức, đơn vị thực hiện</w:t>
      </w:r>
      <w:r w:rsidR="007A387E" w:rsidRPr="00627D14">
        <w:rPr>
          <w:spacing w:val="4"/>
          <w:sz w:val="28"/>
          <w:szCs w:val="28"/>
        </w:rPr>
        <w:t>.</w:t>
      </w:r>
    </w:p>
    <w:p w:rsidR="007A387E" w:rsidRPr="00627D14" w:rsidRDefault="007A387E" w:rsidP="00943887">
      <w:pPr>
        <w:spacing w:after="0"/>
        <w:ind w:firstLine="720"/>
        <w:jc w:val="both"/>
        <w:rPr>
          <w:b/>
          <w:spacing w:val="4"/>
          <w:sz w:val="28"/>
          <w:szCs w:val="28"/>
        </w:rPr>
      </w:pPr>
      <w:r w:rsidRPr="00627D14">
        <w:rPr>
          <w:b/>
          <w:spacing w:val="4"/>
          <w:sz w:val="28"/>
          <w:szCs w:val="28"/>
        </w:rPr>
        <w:t>III. Nội dung</w:t>
      </w:r>
    </w:p>
    <w:p w:rsidR="00943887" w:rsidRPr="00627D14" w:rsidRDefault="00943887" w:rsidP="00943887">
      <w:pPr>
        <w:spacing w:after="0"/>
        <w:ind w:firstLine="720"/>
        <w:jc w:val="both"/>
        <w:rPr>
          <w:b/>
          <w:bCs/>
          <w:spacing w:val="4"/>
          <w:sz w:val="28"/>
          <w:szCs w:val="28"/>
        </w:rPr>
      </w:pPr>
      <w:r w:rsidRPr="00627D14">
        <w:rPr>
          <w:b/>
          <w:bCs/>
          <w:spacing w:val="4"/>
          <w:sz w:val="28"/>
          <w:szCs w:val="28"/>
        </w:rPr>
        <w:t xml:space="preserve">Điều 1. </w:t>
      </w:r>
      <w:r w:rsidRPr="00627D14">
        <w:rPr>
          <w:bCs/>
          <w:spacing w:val="4"/>
          <w:sz w:val="28"/>
          <w:szCs w:val="28"/>
        </w:rPr>
        <w:t>Phạm vi điều chỉnh</w:t>
      </w:r>
    </w:p>
    <w:p w:rsidR="00943887" w:rsidRPr="00627D14" w:rsidRDefault="00943887" w:rsidP="00943887">
      <w:pPr>
        <w:spacing w:after="0"/>
        <w:ind w:firstLine="720"/>
        <w:jc w:val="both"/>
        <w:rPr>
          <w:bCs/>
          <w:spacing w:val="4"/>
          <w:sz w:val="28"/>
          <w:szCs w:val="28"/>
        </w:rPr>
      </w:pPr>
      <w:r w:rsidRPr="00627D14">
        <w:rPr>
          <w:bCs/>
          <w:spacing w:val="4"/>
          <w:sz w:val="28"/>
          <w:szCs w:val="28"/>
        </w:rPr>
        <w:t>Quyết định này quy định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w:t>
      </w:r>
    </w:p>
    <w:p w:rsidR="00943887" w:rsidRPr="00627D14" w:rsidRDefault="00943887" w:rsidP="00943887">
      <w:pPr>
        <w:spacing w:after="0"/>
        <w:ind w:firstLine="720"/>
        <w:jc w:val="both"/>
        <w:rPr>
          <w:b/>
          <w:bCs/>
          <w:spacing w:val="4"/>
          <w:sz w:val="28"/>
          <w:szCs w:val="28"/>
        </w:rPr>
      </w:pPr>
      <w:r w:rsidRPr="00627D14">
        <w:rPr>
          <w:b/>
          <w:bCs/>
          <w:spacing w:val="4"/>
          <w:sz w:val="28"/>
          <w:szCs w:val="28"/>
        </w:rPr>
        <w:t xml:space="preserve">Điều 2. </w:t>
      </w:r>
      <w:r w:rsidRPr="00627D14">
        <w:rPr>
          <w:bCs/>
          <w:spacing w:val="4"/>
          <w:sz w:val="28"/>
          <w:szCs w:val="28"/>
        </w:rPr>
        <w:t>Đối tượng áp dụng</w:t>
      </w:r>
    </w:p>
    <w:p w:rsidR="00943887" w:rsidRPr="00627D14" w:rsidRDefault="00943887" w:rsidP="00943887">
      <w:pPr>
        <w:spacing w:after="0"/>
        <w:ind w:firstLine="720"/>
        <w:jc w:val="both"/>
        <w:rPr>
          <w:bCs/>
          <w:spacing w:val="4"/>
          <w:sz w:val="28"/>
          <w:szCs w:val="28"/>
        </w:rPr>
      </w:pPr>
      <w:r w:rsidRPr="00627D14">
        <w:rPr>
          <w:bCs/>
          <w:spacing w:val="4"/>
          <w:sz w:val="28"/>
          <w:szCs w:val="28"/>
        </w:rPr>
        <w:t>Các cơ quan quản lý nhà nước; các tổ chức kinh tế, hộ gia đình, cá nhân được nhà nước cho thuê đất trên địa bàn tỉnh Hà Nam theo quy định tại Nghị định số 46/2014/NĐ-CP ngày 15 tháng 5 năm 2014 của Chính phủ quy định về thu tiền thuê đất, thuê mặt nước và Thông tư số 77/2014/TT-BTC ngày 16/6/2014 của Bộ Tài chính hướng dẫn một số điều của Nghị định số 46/2014/NĐ-CP ngày 15 tháng 5 năm 2014 của Chính phủ quy định về thu tiền thuê đất, thuê mặt nước.</w:t>
      </w:r>
    </w:p>
    <w:p w:rsidR="00943887" w:rsidRPr="00627D14" w:rsidRDefault="00943887" w:rsidP="00943887">
      <w:pPr>
        <w:spacing w:after="0"/>
        <w:ind w:firstLine="720"/>
        <w:jc w:val="both"/>
        <w:rPr>
          <w:spacing w:val="4"/>
          <w:sz w:val="28"/>
          <w:szCs w:val="28"/>
        </w:rPr>
      </w:pPr>
      <w:r w:rsidRPr="00627D14">
        <w:rPr>
          <w:b/>
          <w:bCs/>
          <w:spacing w:val="4"/>
          <w:sz w:val="28"/>
          <w:szCs w:val="28"/>
        </w:rPr>
        <w:t xml:space="preserve">Điều 3. </w:t>
      </w:r>
      <w:r w:rsidRPr="00627D14">
        <w:rPr>
          <w:bCs/>
          <w:spacing w:val="4"/>
          <w:sz w:val="28"/>
          <w:szCs w:val="28"/>
        </w:rPr>
        <w:t>Tỷ lệ phần trăm (%) để tính đơn giá thuê đất đối với các trường hợp thuê đất hàng năm không thông qua hình thức đấu giá, thuê đất có mặt nước, thuê đất để xây dựng công trình ngầm trên địa bàn tỉnh Hà Nam</w:t>
      </w:r>
      <w:r w:rsidRPr="00627D14">
        <w:rPr>
          <w:spacing w:val="4"/>
          <w:sz w:val="28"/>
          <w:szCs w:val="28"/>
        </w:rPr>
        <w:t>:</w:t>
      </w:r>
    </w:p>
    <w:p w:rsidR="00943887" w:rsidRPr="00943887" w:rsidRDefault="00943887" w:rsidP="00943887">
      <w:pPr>
        <w:numPr>
          <w:ilvl w:val="0"/>
          <w:numId w:val="1"/>
        </w:numPr>
        <w:tabs>
          <w:tab w:val="left" w:pos="993"/>
        </w:tabs>
        <w:spacing w:after="0"/>
        <w:ind w:left="0" w:firstLine="720"/>
        <w:jc w:val="both"/>
        <w:rPr>
          <w:bCs/>
          <w:spacing w:val="4"/>
          <w:sz w:val="28"/>
          <w:szCs w:val="28"/>
        </w:rPr>
      </w:pPr>
      <w:r w:rsidRPr="00627D14">
        <w:rPr>
          <w:bCs/>
          <w:spacing w:val="4"/>
          <w:sz w:val="28"/>
          <w:szCs w:val="28"/>
        </w:rPr>
        <w:t>Tỷ lệ phần trăm (%) để tính đơn giá thuê đất, trả tiền thuê đất hàng năm không thông qua hình thức đấu giá, cụ thể như sau:</w:t>
      </w:r>
    </w:p>
    <w:p w:rsidR="00943887" w:rsidRPr="00CA20C1" w:rsidRDefault="00943887" w:rsidP="00943887">
      <w:pPr>
        <w:tabs>
          <w:tab w:val="left" w:pos="993"/>
        </w:tabs>
        <w:spacing w:after="0"/>
        <w:ind w:left="720"/>
        <w:jc w:val="both"/>
        <w:rPr>
          <w:bCs/>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5885"/>
        <w:gridCol w:w="2449"/>
      </w:tblGrid>
      <w:tr w:rsidR="00943887" w:rsidRPr="008D3C7E" w:rsidTr="00EB14E9">
        <w:tc>
          <w:tcPr>
            <w:tcW w:w="851" w:type="dxa"/>
            <w:vAlign w:val="center"/>
          </w:tcPr>
          <w:p w:rsidR="00943887" w:rsidRPr="008D3C7E" w:rsidRDefault="00943887" w:rsidP="00943887">
            <w:pPr>
              <w:tabs>
                <w:tab w:val="left" w:pos="993"/>
              </w:tabs>
              <w:spacing w:after="0"/>
              <w:jc w:val="center"/>
              <w:rPr>
                <w:b/>
                <w:bCs/>
                <w:sz w:val="28"/>
                <w:szCs w:val="28"/>
              </w:rPr>
            </w:pPr>
            <w:r w:rsidRPr="008D3C7E">
              <w:rPr>
                <w:b/>
                <w:bCs/>
                <w:sz w:val="28"/>
                <w:szCs w:val="28"/>
              </w:rPr>
              <w:lastRenderedPageBreak/>
              <w:t>STT</w:t>
            </w:r>
          </w:p>
        </w:tc>
        <w:tc>
          <w:tcPr>
            <w:tcW w:w="6095" w:type="dxa"/>
            <w:vAlign w:val="center"/>
          </w:tcPr>
          <w:p w:rsidR="00943887" w:rsidRPr="008D3C7E" w:rsidRDefault="00943887" w:rsidP="00943887">
            <w:pPr>
              <w:tabs>
                <w:tab w:val="left" w:pos="993"/>
              </w:tabs>
              <w:spacing w:after="0"/>
              <w:jc w:val="center"/>
              <w:rPr>
                <w:b/>
                <w:bCs/>
                <w:sz w:val="28"/>
                <w:szCs w:val="28"/>
              </w:rPr>
            </w:pPr>
            <w:r w:rsidRPr="008D3C7E">
              <w:rPr>
                <w:b/>
                <w:bCs/>
                <w:sz w:val="28"/>
                <w:szCs w:val="28"/>
              </w:rPr>
              <w:t>Nội dung</w:t>
            </w:r>
          </w:p>
        </w:tc>
        <w:tc>
          <w:tcPr>
            <w:tcW w:w="2522" w:type="dxa"/>
            <w:vAlign w:val="center"/>
          </w:tcPr>
          <w:p w:rsidR="00943887" w:rsidRPr="008D3C7E" w:rsidRDefault="00943887" w:rsidP="00943887">
            <w:pPr>
              <w:tabs>
                <w:tab w:val="left" w:pos="993"/>
              </w:tabs>
              <w:spacing w:after="0"/>
              <w:jc w:val="center"/>
              <w:rPr>
                <w:b/>
                <w:bCs/>
                <w:sz w:val="28"/>
                <w:szCs w:val="28"/>
              </w:rPr>
            </w:pPr>
            <w:r w:rsidRPr="008D3C7E">
              <w:rPr>
                <w:b/>
                <w:bCs/>
                <w:sz w:val="28"/>
                <w:szCs w:val="28"/>
              </w:rPr>
              <w:t>Mức tỷ lệ (%) tính đơn giá thuê đất</w:t>
            </w:r>
          </w:p>
        </w:tc>
      </w:tr>
      <w:tr w:rsidR="00943887" w:rsidRPr="008D3C7E" w:rsidTr="00EB14E9">
        <w:trPr>
          <w:trHeight w:val="465"/>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Khu vực thành phố Phủ Lý</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1,3</w:t>
            </w:r>
          </w:p>
        </w:tc>
      </w:tr>
      <w:tr w:rsidR="00943887" w:rsidRPr="008D3C7E" w:rsidTr="00EB14E9">
        <w:trPr>
          <w:trHeight w:val="401"/>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2</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Khu vực thị xã Duy Tiên</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1,2</w:t>
            </w:r>
          </w:p>
        </w:tc>
      </w:tr>
      <w:tr w:rsidR="00943887" w:rsidRPr="008D3C7E" w:rsidTr="00EB14E9">
        <w:trPr>
          <w:trHeight w:val="706"/>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3</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Khu vực các thị trấn; Khu vực các đường giao thông Quốc lộ</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1,2</w:t>
            </w:r>
          </w:p>
        </w:tc>
      </w:tr>
      <w:tr w:rsidR="00943887" w:rsidRPr="008D3C7E" w:rsidTr="00EB14E9">
        <w:trPr>
          <w:trHeight w:val="503"/>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4</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Khu vực các đường giao thông Tỉnh lộ</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1,1</w:t>
            </w:r>
          </w:p>
        </w:tc>
      </w:tr>
      <w:tr w:rsidR="00943887" w:rsidRPr="008D3C7E" w:rsidTr="00EB14E9">
        <w:trPr>
          <w:trHeight w:val="680"/>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5</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Khu vực còn lại (ngoài khu vực quy định tại mục 1,2,3,4)</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1,0</w:t>
            </w:r>
          </w:p>
        </w:tc>
      </w:tr>
      <w:tr w:rsidR="00943887" w:rsidRPr="008D3C7E" w:rsidTr="00EB14E9">
        <w:trPr>
          <w:trHeight w:val="749"/>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6</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Đất sử dụng vào mục đích sản xuất nông nghiệp, lâm nghiệp, nuôi trồng thủy sản</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1,0</w:t>
            </w:r>
          </w:p>
        </w:tc>
      </w:tr>
      <w:tr w:rsidR="00943887" w:rsidRPr="008D3C7E" w:rsidTr="00EB14E9">
        <w:trPr>
          <w:trHeight w:val="675"/>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7</w:t>
            </w:r>
          </w:p>
        </w:tc>
        <w:tc>
          <w:tcPr>
            <w:tcW w:w="6095" w:type="dxa"/>
            <w:vAlign w:val="center"/>
          </w:tcPr>
          <w:p w:rsidR="00943887" w:rsidRPr="008D3C7E" w:rsidRDefault="00943887" w:rsidP="00943887">
            <w:pPr>
              <w:tabs>
                <w:tab w:val="left" w:pos="993"/>
              </w:tabs>
              <w:spacing w:after="0"/>
              <w:jc w:val="both"/>
              <w:rPr>
                <w:bCs/>
                <w:sz w:val="28"/>
                <w:szCs w:val="28"/>
              </w:rPr>
            </w:pPr>
            <w:r w:rsidRPr="008D3C7E">
              <w:rPr>
                <w:sz w:val="28"/>
                <w:szCs w:val="28"/>
              </w:rPr>
              <w:t>Đối với khu công nghiệp và cụm công nghiệp, tiểu thủ công nghiệp</w:t>
            </w:r>
          </w:p>
        </w:tc>
        <w:tc>
          <w:tcPr>
            <w:tcW w:w="2522" w:type="dxa"/>
            <w:vAlign w:val="center"/>
          </w:tcPr>
          <w:p w:rsidR="00943887" w:rsidRPr="008D3C7E" w:rsidRDefault="00943887" w:rsidP="00943887">
            <w:pPr>
              <w:tabs>
                <w:tab w:val="left" w:pos="993"/>
              </w:tabs>
              <w:spacing w:after="0"/>
              <w:jc w:val="center"/>
              <w:rPr>
                <w:bCs/>
                <w:sz w:val="28"/>
                <w:szCs w:val="28"/>
              </w:rPr>
            </w:pPr>
          </w:p>
        </w:tc>
      </w:tr>
      <w:tr w:rsidR="00943887" w:rsidRPr="008D3C7E" w:rsidTr="00EB14E9">
        <w:trPr>
          <w:trHeight w:val="1026"/>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7.1</w:t>
            </w:r>
          </w:p>
        </w:tc>
        <w:tc>
          <w:tcPr>
            <w:tcW w:w="6095" w:type="dxa"/>
            <w:vAlign w:val="center"/>
          </w:tcPr>
          <w:p w:rsidR="00943887" w:rsidRPr="008D3C7E" w:rsidRDefault="00943887" w:rsidP="00943887">
            <w:pPr>
              <w:tabs>
                <w:tab w:val="left" w:pos="993"/>
              </w:tabs>
              <w:spacing w:after="0"/>
              <w:jc w:val="both"/>
              <w:rPr>
                <w:sz w:val="28"/>
                <w:szCs w:val="28"/>
              </w:rPr>
            </w:pPr>
            <w:r w:rsidRPr="008D3C7E">
              <w:rPr>
                <w:sz w:val="28"/>
                <w:szCs w:val="28"/>
              </w:rPr>
              <w:t>Đối với khu công nghiệp và cụm công nghiệp, tiểu thủ công nghiệp đầu tư hạ tầng bằng nguồn vốn ngân sách nhà nước</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1,0</w:t>
            </w:r>
          </w:p>
        </w:tc>
      </w:tr>
      <w:tr w:rsidR="00943887" w:rsidRPr="008D3C7E" w:rsidTr="00EB14E9">
        <w:trPr>
          <w:trHeight w:val="1128"/>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7.2</w:t>
            </w:r>
          </w:p>
        </w:tc>
        <w:tc>
          <w:tcPr>
            <w:tcW w:w="6095" w:type="dxa"/>
            <w:vAlign w:val="center"/>
          </w:tcPr>
          <w:p w:rsidR="00943887" w:rsidRPr="008D3C7E" w:rsidRDefault="00943887" w:rsidP="00943887">
            <w:pPr>
              <w:tabs>
                <w:tab w:val="left" w:pos="993"/>
              </w:tabs>
              <w:spacing w:after="0"/>
              <w:jc w:val="both"/>
              <w:rPr>
                <w:sz w:val="28"/>
                <w:szCs w:val="28"/>
              </w:rPr>
            </w:pPr>
            <w:r w:rsidRPr="008D3C7E">
              <w:rPr>
                <w:sz w:val="28"/>
                <w:szCs w:val="28"/>
              </w:rPr>
              <w:t>Đối với khu công nghiệp và cụm công nghiệp, tiểu thủ công nghiệp có thu tiền đầu tư hạ tầng của các đối tượng thuê đất</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0,5</w:t>
            </w:r>
          </w:p>
        </w:tc>
      </w:tr>
      <w:tr w:rsidR="00943887" w:rsidRPr="008D3C7E" w:rsidTr="00EB14E9">
        <w:trPr>
          <w:trHeight w:val="677"/>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7.3</w:t>
            </w:r>
          </w:p>
        </w:tc>
        <w:tc>
          <w:tcPr>
            <w:tcW w:w="6095" w:type="dxa"/>
            <w:vAlign w:val="center"/>
          </w:tcPr>
          <w:p w:rsidR="00943887" w:rsidRPr="00943887" w:rsidRDefault="00943887" w:rsidP="00943887">
            <w:pPr>
              <w:tabs>
                <w:tab w:val="left" w:pos="993"/>
              </w:tabs>
              <w:spacing w:after="0"/>
              <w:jc w:val="both"/>
              <w:rPr>
                <w:spacing w:val="-4"/>
                <w:sz w:val="28"/>
                <w:szCs w:val="28"/>
              </w:rPr>
            </w:pPr>
            <w:r w:rsidRPr="00943887">
              <w:rPr>
                <w:spacing w:val="-4"/>
                <w:sz w:val="28"/>
                <w:szCs w:val="28"/>
              </w:rPr>
              <w:t>Đối với khu công nghiệp và cụm công nghiệp, tiểu thủ công nghiệp doanh nghiệp tự đầu tư hạ tầng</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0,5</w:t>
            </w:r>
          </w:p>
        </w:tc>
      </w:tr>
      <w:tr w:rsidR="00943887" w:rsidRPr="008D3C7E" w:rsidTr="00EB14E9">
        <w:trPr>
          <w:trHeight w:val="1124"/>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8</w:t>
            </w:r>
          </w:p>
        </w:tc>
        <w:tc>
          <w:tcPr>
            <w:tcW w:w="6095" w:type="dxa"/>
            <w:vAlign w:val="center"/>
          </w:tcPr>
          <w:p w:rsidR="00943887" w:rsidRPr="008D3C7E" w:rsidRDefault="00943887" w:rsidP="00943887">
            <w:pPr>
              <w:tabs>
                <w:tab w:val="left" w:pos="993"/>
              </w:tabs>
              <w:spacing w:after="0"/>
              <w:jc w:val="both"/>
              <w:rPr>
                <w:sz w:val="28"/>
                <w:szCs w:val="28"/>
              </w:rPr>
            </w:pPr>
            <w:r w:rsidRPr="008D3C7E">
              <w:rPr>
                <w:sz w:val="28"/>
                <w:szCs w:val="28"/>
              </w:rPr>
              <w:t>Đối với các dự án thuộc lĩnh vực khuyến khích đầu tư, lĩnh vực đặc biệt khuyến khích đầu tư theo quy định của pháp luật</w:t>
            </w:r>
          </w:p>
        </w:tc>
        <w:tc>
          <w:tcPr>
            <w:tcW w:w="2522" w:type="dxa"/>
            <w:vAlign w:val="center"/>
          </w:tcPr>
          <w:p w:rsidR="00943887" w:rsidRPr="008D3C7E" w:rsidRDefault="00943887" w:rsidP="00943887">
            <w:pPr>
              <w:tabs>
                <w:tab w:val="left" w:pos="993"/>
              </w:tabs>
              <w:spacing w:after="0"/>
              <w:jc w:val="center"/>
              <w:rPr>
                <w:bCs/>
                <w:sz w:val="28"/>
                <w:szCs w:val="28"/>
              </w:rPr>
            </w:pPr>
          </w:p>
        </w:tc>
      </w:tr>
      <w:tr w:rsidR="00943887" w:rsidRPr="008D3C7E" w:rsidTr="00EB14E9">
        <w:trPr>
          <w:trHeight w:val="516"/>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8.1</w:t>
            </w:r>
          </w:p>
        </w:tc>
        <w:tc>
          <w:tcPr>
            <w:tcW w:w="6095" w:type="dxa"/>
            <w:vAlign w:val="center"/>
          </w:tcPr>
          <w:p w:rsidR="00943887" w:rsidRPr="008D3C7E" w:rsidRDefault="00943887" w:rsidP="00943887">
            <w:pPr>
              <w:tabs>
                <w:tab w:val="left" w:pos="993"/>
              </w:tabs>
              <w:spacing w:after="0"/>
              <w:jc w:val="both"/>
              <w:rPr>
                <w:sz w:val="28"/>
                <w:szCs w:val="28"/>
              </w:rPr>
            </w:pPr>
            <w:r w:rsidRPr="008D3C7E">
              <w:rPr>
                <w:sz w:val="28"/>
                <w:szCs w:val="28"/>
              </w:rPr>
              <w:t>Địa bàn huyện Thanh Liêm, Lý Nhân, Bình Lục</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0,5</w:t>
            </w:r>
          </w:p>
        </w:tc>
      </w:tr>
      <w:tr w:rsidR="00943887" w:rsidRPr="008D3C7E" w:rsidTr="00EB14E9">
        <w:trPr>
          <w:trHeight w:val="552"/>
        </w:trPr>
        <w:tc>
          <w:tcPr>
            <w:tcW w:w="851"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8.2</w:t>
            </w:r>
          </w:p>
        </w:tc>
        <w:tc>
          <w:tcPr>
            <w:tcW w:w="6095" w:type="dxa"/>
            <w:vAlign w:val="center"/>
          </w:tcPr>
          <w:p w:rsidR="00943887" w:rsidRPr="008D3C7E" w:rsidRDefault="00943887" w:rsidP="00943887">
            <w:pPr>
              <w:tabs>
                <w:tab w:val="left" w:pos="993"/>
              </w:tabs>
              <w:spacing w:after="0"/>
              <w:jc w:val="both"/>
              <w:rPr>
                <w:sz w:val="28"/>
                <w:szCs w:val="28"/>
              </w:rPr>
            </w:pPr>
            <w:r w:rsidRPr="008D3C7E">
              <w:rPr>
                <w:sz w:val="28"/>
                <w:szCs w:val="28"/>
              </w:rPr>
              <w:t>Các khu vực còn lại</w:t>
            </w:r>
          </w:p>
        </w:tc>
        <w:tc>
          <w:tcPr>
            <w:tcW w:w="2522" w:type="dxa"/>
            <w:vAlign w:val="center"/>
          </w:tcPr>
          <w:p w:rsidR="00943887" w:rsidRPr="008D3C7E" w:rsidRDefault="00943887" w:rsidP="00943887">
            <w:pPr>
              <w:tabs>
                <w:tab w:val="left" w:pos="993"/>
              </w:tabs>
              <w:spacing w:after="0"/>
              <w:jc w:val="center"/>
              <w:rPr>
                <w:bCs/>
                <w:sz w:val="28"/>
                <w:szCs w:val="28"/>
              </w:rPr>
            </w:pPr>
            <w:r w:rsidRPr="008D3C7E">
              <w:rPr>
                <w:bCs/>
                <w:sz w:val="28"/>
                <w:szCs w:val="28"/>
              </w:rPr>
              <w:t>0,75</w:t>
            </w:r>
          </w:p>
        </w:tc>
      </w:tr>
    </w:tbl>
    <w:p w:rsidR="00943887" w:rsidRDefault="00943887" w:rsidP="00943887">
      <w:pPr>
        <w:spacing w:after="0"/>
        <w:ind w:firstLine="720"/>
        <w:jc w:val="both"/>
        <w:rPr>
          <w:bCs/>
          <w:sz w:val="2"/>
          <w:szCs w:val="2"/>
        </w:rPr>
      </w:pPr>
    </w:p>
    <w:p w:rsidR="00943887" w:rsidRDefault="00943887" w:rsidP="00943887">
      <w:pPr>
        <w:spacing w:after="0"/>
        <w:ind w:firstLine="720"/>
        <w:jc w:val="both"/>
        <w:rPr>
          <w:bCs/>
          <w:sz w:val="2"/>
          <w:szCs w:val="2"/>
        </w:rPr>
      </w:pPr>
    </w:p>
    <w:p w:rsidR="00943887" w:rsidRDefault="00943887" w:rsidP="00943887">
      <w:pPr>
        <w:spacing w:after="0"/>
        <w:ind w:firstLine="720"/>
        <w:jc w:val="both"/>
        <w:rPr>
          <w:bCs/>
          <w:sz w:val="2"/>
          <w:szCs w:val="2"/>
        </w:rPr>
      </w:pPr>
    </w:p>
    <w:p w:rsidR="00943887" w:rsidRDefault="00943887"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6B165A" w:rsidRDefault="006B165A" w:rsidP="00943887">
      <w:pPr>
        <w:spacing w:after="0"/>
        <w:ind w:firstLine="720"/>
        <w:jc w:val="both"/>
        <w:rPr>
          <w:bCs/>
          <w:sz w:val="2"/>
          <w:szCs w:val="2"/>
        </w:rPr>
      </w:pPr>
    </w:p>
    <w:p w:rsidR="00943887" w:rsidRPr="00D22790" w:rsidRDefault="00943887" w:rsidP="00943887">
      <w:pPr>
        <w:spacing w:after="0"/>
        <w:ind w:firstLine="720"/>
        <w:jc w:val="both"/>
        <w:rPr>
          <w:sz w:val="28"/>
          <w:szCs w:val="28"/>
        </w:rPr>
      </w:pPr>
      <w:r w:rsidRPr="008D1581">
        <w:rPr>
          <w:bCs/>
          <w:sz w:val="28"/>
          <w:szCs w:val="28"/>
        </w:rPr>
        <w:t>2.</w:t>
      </w:r>
      <w:r>
        <w:rPr>
          <w:b/>
          <w:bCs/>
          <w:sz w:val="28"/>
          <w:szCs w:val="28"/>
        </w:rPr>
        <w:t xml:space="preserve"> </w:t>
      </w:r>
      <w:r w:rsidRPr="00D22790">
        <w:rPr>
          <w:sz w:val="28"/>
          <w:szCs w:val="28"/>
        </w:rPr>
        <w:t>Xác định đơn giá thuê đất để xây dựng công trình ngầm.</w:t>
      </w:r>
    </w:p>
    <w:p w:rsidR="00943887" w:rsidRPr="00D22790" w:rsidRDefault="00943887" w:rsidP="00943887">
      <w:pPr>
        <w:spacing w:after="0"/>
        <w:ind w:firstLine="720"/>
        <w:jc w:val="both"/>
        <w:rPr>
          <w:sz w:val="28"/>
          <w:szCs w:val="28"/>
        </w:rPr>
      </w:pPr>
      <w:r>
        <w:rPr>
          <w:sz w:val="28"/>
          <w:szCs w:val="28"/>
        </w:rPr>
        <w:t>a)</w:t>
      </w:r>
      <w:r w:rsidRPr="00D22790">
        <w:rPr>
          <w:sz w:val="28"/>
          <w:szCs w:val="28"/>
        </w:rPr>
        <w:t xml:space="preserve"> Đối với đất được Nhà nước cho thuê để xây dựng công trình ngầm </w:t>
      </w:r>
      <w:r w:rsidRPr="00D22790">
        <w:rPr>
          <w:i/>
          <w:iCs/>
          <w:sz w:val="28"/>
          <w:szCs w:val="28"/>
        </w:rPr>
        <w:t>(không phải là phần ngầm của công trình xây dựng trên mặt đất)</w:t>
      </w:r>
      <w:r w:rsidRPr="00D22790">
        <w:rPr>
          <w:sz w:val="28"/>
          <w:szCs w:val="28"/>
        </w:rPr>
        <w:t xml:space="preserve"> theo quy định Luật Đất đai, tiền thuê đất được xác định như sau:</w:t>
      </w:r>
    </w:p>
    <w:p w:rsidR="00943887" w:rsidRPr="00D22790" w:rsidRDefault="00943887" w:rsidP="00943887">
      <w:pPr>
        <w:spacing w:after="0"/>
        <w:ind w:firstLine="720"/>
        <w:jc w:val="both"/>
        <w:rPr>
          <w:sz w:val="28"/>
          <w:szCs w:val="28"/>
        </w:rPr>
      </w:pPr>
      <w:r>
        <w:rPr>
          <w:sz w:val="28"/>
          <w:szCs w:val="28"/>
        </w:rPr>
        <w:t xml:space="preserve">- </w:t>
      </w:r>
      <w:r w:rsidRPr="00D22790">
        <w:rPr>
          <w:sz w:val="28"/>
          <w:szCs w:val="28"/>
        </w:rPr>
        <w:t xml:space="preserve"> Trường hợp thuê đất trả tiền thuê đất hàng năm, đơn giá thuê đất bằng 30% đơn giá thuê đất trên bề mặt với hình thức thuê đất trả tiền, thuê đất hàng năm có cùng mục đích sử dụng.</w:t>
      </w:r>
    </w:p>
    <w:p w:rsidR="00943887" w:rsidRPr="00D22790" w:rsidRDefault="00943887" w:rsidP="00943887">
      <w:pPr>
        <w:spacing w:after="0"/>
        <w:ind w:firstLine="720"/>
        <w:jc w:val="both"/>
        <w:rPr>
          <w:sz w:val="28"/>
          <w:szCs w:val="28"/>
        </w:rPr>
      </w:pPr>
      <w:r>
        <w:rPr>
          <w:sz w:val="28"/>
          <w:szCs w:val="28"/>
        </w:rPr>
        <w:t>-</w:t>
      </w:r>
      <w:r w:rsidRPr="00D22790">
        <w:rPr>
          <w:sz w:val="28"/>
          <w:szCs w:val="28"/>
        </w:rPr>
        <w:t xml:space="preserve"> Trường hợp thuê đất trả tiền thuê đất một lần cho cả thời gian thuê, đơn giá thuê đất trả một lần cho cả thời gian thuê bằng 30% đơn giá thuê đất trên bề </w:t>
      </w:r>
      <w:r w:rsidRPr="00D22790">
        <w:rPr>
          <w:sz w:val="28"/>
          <w:szCs w:val="28"/>
        </w:rPr>
        <w:lastRenderedPageBreak/>
        <w:t>mặt với hình thức thuê đất trả tiền thuê đất một lần cho cả thời gian thuê có cùng mục đích sử dụng và thời hạn sử dụng đất.</w:t>
      </w:r>
    </w:p>
    <w:p w:rsidR="00943887" w:rsidRPr="00D22790" w:rsidRDefault="00943887" w:rsidP="00943887">
      <w:pPr>
        <w:spacing w:after="0"/>
        <w:ind w:firstLine="720"/>
        <w:jc w:val="both"/>
        <w:rPr>
          <w:sz w:val="28"/>
          <w:szCs w:val="28"/>
        </w:rPr>
      </w:pPr>
      <w:r w:rsidRPr="00943887">
        <w:rPr>
          <w:spacing w:val="-6"/>
          <w:sz w:val="28"/>
          <w:szCs w:val="28"/>
        </w:rPr>
        <w:t>b)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vượt thêm này được xác định theo quy định tại Khoản 1 Điều này</w:t>
      </w:r>
      <w:r w:rsidRPr="00D22790">
        <w:rPr>
          <w:sz w:val="28"/>
          <w:szCs w:val="28"/>
        </w:rPr>
        <w:t>.</w:t>
      </w:r>
    </w:p>
    <w:p w:rsidR="00943887" w:rsidRPr="00D22790" w:rsidRDefault="00943887" w:rsidP="00943887">
      <w:pPr>
        <w:spacing w:after="0"/>
        <w:ind w:firstLine="720"/>
        <w:jc w:val="both"/>
        <w:rPr>
          <w:sz w:val="28"/>
          <w:szCs w:val="28"/>
        </w:rPr>
      </w:pPr>
      <w:r w:rsidRPr="008D1581">
        <w:rPr>
          <w:bCs/>
          <w:sz w:val="28"/>
          <w:szCs w:val="28"/>
        </w:rPr>
        <w:t>3.</w:t>
      </w:r>
      <w:r w:rsidRPr="00D22790">
        <w:rPr>
          <w:sz w:val="28"/>
          <w:szCs w:val="28"/>
        </w:rPr>
        <w:t xml:space="preserve"> Xác định đơn giá thuê đất đối với đất có mặt nước thuộc nhóm đất quy định tại Điều 10 Luật Đất đai.</w:t>
      </w:r>
    </w:p>
    <w:p w:rsidR="00943887" w:rsidRPr="00D22790" w:rsidRDefault="00943887" w:rsidP="00943887">
      <w:pPr>
        <w:spacing w:after="0"/>
        <w:ind w:firstLine="720"/>
        <w:jc w:val="both"/>
        <w:rPr>
          <w:sz w:val="28"/>
          <w:szCs w:val="28"/>
        </w:rPr>
      </w:pPr>
      <w:r w:rsidRPr="00D22790">
        <w:rPr>
          <w:sz w:val="28"/>
          <w:szCs w:val="28"/>
        </w:rPr>
        <w:t>Đơn giá thuê đất có mặt nước được xác định như sau:</w:t>
      </w:r>
    </w:p>
    <w:p w:rsidR="00943887" w:rsidRPr="00D22790" w:rsidRDefault="00943887" w:rsidP="00943887">
      <w:pPr>
        <w:spacing w:after="0"/>
        <w:ind w:firstLine="720"/>
        <w:jc w:val="both"/>
        <w:rPr>
          <w:sz w:val="28"/>
          <w:szCs w:val="28"/>
        </w:rPr>
      </w:pPr>
      <w:r w:rsidRPr="00D22790">
        <w:rPr>
          <w:sz w:val="28"/>
          <w:szCs w:val="28"/>
        </w:rPr>
        <w:t>a) Đối với phần diện tích đất không có mặt nước, xác định đơn giá thuê đất trả tiền thuê đất hàng năm, đơn giá thuê đất trả tiền thuê đất một lần cho cả thời gian thuê theo quy định.</w:t>
      </w:r>
    </w:p>
    <w:p w:rsidR="00943887" w:rsidRPr="00D22790" w:rsidRDefault="00943887" w:rsidP="00943887">
      <w:pPr>
        <w:spacing w:after="0"/>
        <w:ind w:firstLine="720"/>
        <w:jc w:val="both"/>
        <w:rPr>
          <w:sz w:val="28"/>
          <w:szCs w:val="28"/>
        </w:rPr>
      </w:pPr>
      <w:r w:rsidRPr="00D22790">
        <w:rPr>
          <w:sz w:val="28"/>
          <w:szCs w:val="28"/>
        </w:rPr>
        <w:t>b) Đối với phần diện tích đất có mặt nước sử dụng làm mặt bằng sản xuất kinh doanh phi nông nghiệp thì đơn giá thuê đất hàng năm, đơn giá thuê đất trả tiền thuê đất một lần cho cả thời gian thuê bằng 50% đơn giá thuê đất hàng năm hoặc đơn giá thuê đất thu một lần cho cả thời gian thuê của loại đất có vị trí liền kề có cùng mục đích sử dụng.</w:t>
      </w:r>
    </w:p>
    <w:p w:rsidR="00943887" w:rsidRDefault="00943887" w:rsidP="00943887">
      <w:pPr>
        <w:spacing w:after="0"/>
        <w:ind w:firstLine="720"/>
        <w:jc w:val="both"/>
        <w:rPr>
          <w:sz w:val="28"/>
          <w:szCs w:val="28"/>
        </w:rPr>
      </w:pPr>
      <w:r w:rsidRPr="00D22790">
        <w:rPr>
          <w:b/>
          <w:bCs/>
          <w:sz w:val="28"/>
          <w:szCs w:val="28"/>
        </w:rPr>
        <w:t>Điều 4.</w:t>
      </w:r>
      <w:r w:rsidRPr="00D22790">
        <w:rPr>
          <w:sz w:val="28"/>
          <w:szCs w:val="28"/>
        </w:rPr>
        <w:t xml:space="preserve"> </w:t>
      </w:r>
      <w:r>
        <w:rPr>
          <w:sz w:val="28"/>
          <w:szCs w:val="28"/>
        </w:rPr>
        <w:t xml:space="preserve">Cơ quan xác định </w:t>
      </w:r>
      <w:r w:rsidRPr="00D22790">
        <w:rPr>
          <w:sz w:val="28"/>
          <w:szCs w:val="28"/>
        </w:rPr>
        <w:t>đơn giá thuê đất</w:t>
      </w:r>
    </w:p>
    <w:p w:rsidR="00943887" w:rsidRDefault="00943887" w:rsidP="00943887">
      <w:pPr>
        <w:numPr>
          <w:ilvl w:val="0"/>
          <w:numId w:val="2"/>
        </w:numPr>
        <w:tabs>
          <w:tab w:val="left" w:pos="993"/>
        </w:tabs>
        <w:spacing w:after="0"/>
        <w:ind w:left="0" w:firstLine="720"/>
        <w:jc w:val="both"/>
        <w:rPr>
          <w:sz w:val="28"/>
          <w:szCs w:val="28"/>
        </w:rPr>
      </w:pPr>
      <w:r w:rsidRPr="00D22790">
        <w:rPr>
          <w:sz w:val="28"/>
          <w:szCs w:val="28"/>
        </w:rPr>
        <w:t>Căn cứ giá đất cụ thể do Ủy ban nhân dân tỉnh quyết định; Bảng giá đất, hệ số điều chỉnh giá đất và mức tỷ lệ phần trăm (%) để xác định đơn giá thuê đất quy định tại quyết định này, Cục trưởng Cục thuế quyết định đơn giá thuê đất đối với tổ chức</w:t>
      </w:r>
      <w:r>
        <w:rPr>
          <w:sz w:val="28"/>
          <w:szCs w:val="28"/>
        </w:rPr>
        <w:t>,</w:t>
      </w:r>
      <w:r w:rsidRPr="00D22790">
        <w:rPr>
          <w:sz w:val="28"/>
          <w:szCs w:val="28"/>
        </w:rPr>
        <w:t xml:space="preserve"> người Việt Nam định cư ở nước ngoài, doanh nghiệp có vốn đầu tư nước ngoài; Chi cục trưởng Chi cục thuế </w:t>
      </w:r>
      <w:r w:rsidRPr="009D3F52">
        <w:rPr>
          <w:sz w:val="28"/>
          <w:szCs w:val="28"/>
        </w:rPr>
        <w:t>xác định đơn giá thuê đất để tính tiền thuê đất đối với hộ gia đình, cá nhân</w:t>
      </w:r>
      <w:r>
        <w:rPr>
          <w:sz w:val="28"/>
          <w:szCs w:val="28"/>
        </w:rPr>
        <w:t xml:space="preserve"> theo quy định</w:t>
      </w:r>
      <w:r w:rsidRPr="00D22790">
        <w:rPr>
          <w:sz w:val="28"/>
          <w:szCs w:val="28"/>
        </w:rPr>
        <w:t>.</w:t>
      </w:r>
    </w:p>
    <w:p w:rsidR="007A387E" w:rsidRPr="00943887" w:rsidRDefault="00943887" w:rsidP="00943887">
      <w:pPr>
        <w:pStyle w:val="NormalWeb"/>
        <w:numPr>
          <w:ilvl w:val="0"/>
          <w:numId w:val="2"/>
        </w:numPr>
        <w:shd w:val="clear" w:color="auto" w:fill="FFFFFF"/>
        <w:tabs>
          <w:tab w:val="left" w:pos="993"/>
        </w:tabs>
        <w:spacing w:before="0" w:beforeAutospacing="0" w:after="0" w:afterAutospacing="0" w:line="276" w:lineRule="auto"/>
        <w:ind w:left="0" w:firstLine="720"/>
        <w:jc w:val="both"/>
        <w:rPr>
          <w:sz w:val="28"/>
          <w:szCs w:val="28"/>
          <w:lang w:val="en-US"/>
        </w:rPr>
      </w:pPr>
      <w:r w:rsidRPr="0071312F">
        <w:rPr>
          <w:sz w:val="28"/>
          <w:szCs w:val="28"/>
        </w:rPr>
        <w:t>Trường hợp có ý kiến khác nhau về đơn giá thuê đất giữa người thuê đất và cơ quan nhà nước có thẩm quyền xác định đơn giá thuê đất thì quyết định giải quyết của Chủ tịch Ủy ban nhân dân cấp tỉnh là quyết định cuối cùng.</w:t>
      </w:r>
    </w:p>
    <w:p w:rsidR="007A387E" w:rsidRDefault="007A387E" w:rsidP="00627D14">
      <w:pPr>
        <w:tabs>
          <w:tab w:val="left" w:pos="175"/>
        </w:tabs>
        <w:spacing w:after="0"/>
        <w:ind w:firstLine="720"/>
        <w:jc w:val="both"/>
        <w:rPr>
          <w:sz w:val="2"/>
          <w:szCs w:val="2"/>
        </w:rPr>
      </w:pPr>
      <w:r w:rsidRPr="00D9090F">
        <w:rPr>
          <w:sz w:val="28"/>
          <w:szCs w:val="28"/>
        </w:rPr>
        <w:t xml:space="preserve">Trên đây là một số nội dung đề xuất </w:t>
      </w:r>
      <w:r w:rsidR="00943887" w:rsidRPr="00943887">
        <w:rPr>
          <w:spacing w:val="-2"/>
          <w:sz w:val="28"/>
          <w:szCs w:val="28"/>
        </w:rPr>
        <w:t>ban hành Quyết định về việc quy định về mức tỷ lệ phần trăm (%) để tính đơn giá thuê đất đối với các trường hợp thuê đất hàng năm không thông qua hình thức đấu giá, thuê đất có mặt nước, thuê đất để xây dựng công trình ngầm trên địa bàn tỉnh Hà Nam</w:t>
      </w:r>
      <w:r w:rsidRPr="00D9090F">
        <w:rPr>
          <w:sz w:val="28"/>
          <w:szCs w:val="28"/>
        </w:rPr>
        <w:t>. Sở Tài chính trân trọng báo cáo và xin ý kiến UBND tỉnh./.</w:t>
      </w:r>
    </w:p>
    <w:p w:rsidR="00627D14" w:rsidRDefault="00627D14" w:rsidP="00627D14">
      <w:pPr>
        <w:tabs>
          <w:tab w:val="left" w:pos="175"/>
        </w:tabs>
        <w:spacing w:after="0"/>
        <w:ind w:firstLine="720"/>
        <w:jc w:val="both"/>
        <w:rPr>
          <w:sz w:val="2"/>
          <w:szCs w:val="2"/>
        </w:rPr>
      </w:pPr>
    </w:p>
    <w:p w:rsidR="00627D14" w:rsidRDefault="00627D14" w:rsidP="00627D14">
      <w:pPr>
        <w:tabs>
          <w:tab w:val="left" w:pos="175"/>
        </w:tabs>
        <w:spacing w:after="0"/>
        <w:ind w:firstLine="720"/>
        <w:jc w:val="both"/>
        <w:rPr>
          <w:sz w:val="2"/>
          <w:szCs w:val="2"/>
        </w:rPr>
      </w:pPr>
    </w:p>
    <w:p w:rsidR="00627D14" w:rsidRDefault="00627D14" w:rsidP="00627D14">
      <w:pPr>
        <w:tabs>
          <w:tab w:val="left" w:pos="175"/>
        </w:tabs>
        <w:spacing w:after="0"/>
        <w:ind w:firstLine="720"/>
        <w:jc w:val="both"/>
        <w:rPr>
          <w:sz w:val="2"/>
          <w:szCs w:val="2"/>
        </w:rPr>
      </w:pPr>
    </w:p>
    <w:p w:rsidR="00627D14" w:rsidRDefault="00627D14" w:rsidP="00627D14">
      <w:pPr>
        <w:tabs>
          <w:tab w:val="left" w:pos="175"/>
        </w:tabs>
        <w:spacing w:after="0"/>
        <w:ind w:firstLine="720"/>
        <w:jc w:val="both"/>
        <w:rPr>
          <w:sz w:val="2"/>
          <w:szCs w:val="2"/>
        </w:rPr>
      </w:pPr>
    </w:p>
    <w:p w:rsidR="00627D14" w:rsidRDefault="00627D14" w:rsidP="00627D14">
      <w:pPr>
        <w:tabs>
          <w:tab w:val="left" w:pos="175"/>
        </w:tabs>
        <w:spacing w:after="0"/>
        <w:ind w:firstLine="720"/>
        <w:jc w:val="both"/>
        <w:rPr>
          <w:sz w:val="2"/>
          <w:szCs w:val="2"/>
        </w:rPr>
      </w:pPr>
    </w:p>
    <w:p w:rsidR="00627D14" w:rsidRDefault="00627D14" w:rsidP="00627D14">
      <w:pPr>
        <w:tabs>
          <w:tab w:val="left" w:pos="175"/>
        </w:tabs>
        <w:spacing w:after="0"/>
        <w:ind w:firstLine="720"/>
        <w:jc w:val="both"/>
        <w:rPr>
          <w:sz w:val="2"/>
          <w:szCs w:val="2"/>
        </w:rPr>
      </w:pPr>
    </w:p>
    <w:p w:rsidR="00627D14" w:rsidRPr="00627D14" w:rsidRDefault="00627D14" w:rsidP="00627D14">
      <w:pPr>
        <w:tabs>
          <w:tab w:val="left" w:pos="175"/>
        </w:tabs>
        <w:spacing w:after="0"/>
        <w:ind w:firstLine="720"/>
        <w:jc w:val="both"/>
        <w:rPr>
          <w:sz w:val="2"/>
          <w:szCs w:val="2"/>
        </w:rPr>
      </w:pPr>
    </w:p>
    <w:tbl>
      <w:tblPr>
        <w:tblW w:w="9056" w:type="dxa"/>
        <w:jc w:val="center"/>
        <w:tblLayout w:type="fixed"/>
        <w:tblLook w:val="0000"/>
      </w:tblPr>
      <w:tblGrid>
        <w:gridCol w:w="4316"/>
        <w:gridCol w:w="1057"/>
        <w:gridCol w:w="3683"/>
      </w:tblGrid>
      <w:tr w:rsidR="007A387E" w:rsidRPr="00A03F05" w:rsidTr="00EB14E9">
        <w:trPr>
          <w:trHeight w:val="80"/>
          <w:jc w:val="center"/>
        </w:trPr>
        <w:tc>
          <w:tcPr>
            <w:tcW w:w="4316" w:type="dxa"/>
          </w:tcPr>
          <w:p w:rsidR="007A387E" w:rsidRPr="00A03F05" w:rsidRDefault="007A387E" w:rsidP="007A387E">
            <w:pPr>
              <w:tabs>
                <w:tab w:val="left" w:pos="2384"/>
              </w:tabs>
              <w:spacing w:after="0" w:line="240" w:lineRule="auto"/>
              <w:jc w:val="both"/>
              <w:rPr>
                <w:b/>
                <w:i/>
                <w:color w:val="000000"/>
                <w:lang w:val="vi-VN"/>
              </w:rPr>
            </w:pPr>
            <w:r w:rsidRPr="00A03F05">
              <w:rPr>
                <w:b/>
                <w:i/>
                <w:color w:val="000000"/>
                <w:lang w:val="vi-VN"/>
              </w:rPr>
              <w:t>Nơi nhận:</w:t>
            </w:r>
          </w:p>
          <w:p w:rsidR="007A387E" w:rsidRPr="00A03F05" w:rsidRDefault="007A387E" w:rsidP="007A387E">
            <w:pPr>
              <w:tabs>
                <w:tab w:val="left" w:pos="2384"/>
              </w:tabs>
              <w:spacing w:after="0" w:line="240" w:lineRule="auto"/>
              <w:jc w:val="both"/>
              <w:rPr>
                <w:color w:val="000000"/>
                <w:lang w:val="vi-VN"/>
              </w:rPr>
            </w:pPr>
            <w:r w:rsidRPr="00A03F05">
              <w:rPr>
                <w:color w:val="000000"/>
                <w:sz w:val="22"/>
                <w:lang w:val="vi-VN"/>
              </w:rPr>
              <w:t>- Như trên;</w:t>
            </w:r>
          </w:p>
          <w:p w:rsidR="007A387E" w:rsidRPr="00A03F05" w:rsidRDefault="007A387E" w:rsidP="007A387E">
            <w:pPr>
              <w:tabs>
                <w:tab w:val="left" w:pos="2384"/>
              </w:tabs>
              <w:spacing w:after="0" w:line="240" w:lineRule="auto"/>
              <w:jc w:val="both"/>
              <w:rPr>
                <w:color w:val="000000"/>
                <w:lang w:val="vi-VN"/>
              </w:rPr>
            </w:pPr>
            <w:r w:rsidRPr="00A03F05">
              <w:rPr>
                <w:color w:val="000000"/>
                <w:sz w:val="22"/>
                <w:lang w:val="vi-VN"/>
              </w:rPr>
              <w:t xml:space="preserve">- </w:t>
            </w:r>
            <w:r>
              <w:rPr>
                <w:color w:val="000000"/>
                <w:sz w:val="22"/>
              </w:rPr>
              <w:t>Ban Giám đốc</w:t>
            </w:r>
            <w:r w:rsidRPr="00A03F05">
              <w:rPr>
                <w:color w:val="000000"/>
                <w:sz w:val="22"/>
                <w:lang w:val="vi-VN"/>
              </w:rPr>
              <w:t xml:space="preserve"> (</w:t>
            </w:r>
            <w:r w:rsidRPr="00A03F05">
              <w:rPr>
                <w:color w:val="000000"/>
                <w:sz w:val="22"/>
              </w:rPr>
              <w:t>B</w:t>
            </w:r>
            <w:r w:rsidRPr="00A03F05">
              <w:rPr>
                <w:color w:val="000000"/>
                <w:sz w:val="22"/>
                <w:lang w:val="vi-VN"/>
              </w:rPr>
              <w:t>/c);</w:t>
            </w:r>
          </w:p>
          <w:p w:rsidR="007A387E" w:rsidRPr="00A03F05" w:rsidRDefault="007A387E" w:rsidP="007A387E">
            <w:pPr>
              <w:spacing w:after="0" w:line="240" w:lineRule="auto"/>
              <w:jc w:val="both"/>
              <w:rPr>
                <w:b/>
                <w:color w:val="000000"/>
              </w:rPr>
            </w:pPr>
            <w:r>
              <w:rPr>
                <w:color w:val="000000"/>
                <w:sz w:val="22"/>
              </w:rPr>
              <w:t>- Lưu: VT, G</w:t>
            </w:r>
            <w:r w:rsidRPr="00A03F05">
              <w:rPr>
                <w:color w:val="000000"/>
                <w:sz w:val="22"/>
              </w:rPr>
              <w:t>CS</w:t>
            </w:r>
            <w:r w:rsidRPr="00A03F05">
              <w:rPr>
                <w:color w:val="000000"/>
                <w:sz w:val="22"/>
                <w:lang w:val="nl-NL"/>
              </w:rPr>
              <w:t>.</w:t>
            </w:r>
          </w:p>
        </w:tc>
        <w:tc>
          <w:tcPr>
            <w:tcW w:w="1057" w:type="dxa"/>
          </w:tcPr>
          <w:p w:rsidR="007A387E" w:rsidRPr="00A03F05" w:rsidRDefault="007A387E" w:rsidP="007A387E">
            <w:pPr>
              <w:spacing w:after="0" w:line="240" w:lineRule="auto"/>
              <w:rPr>
                <w:b/>
                <w:color w:val="000000"/>
              </w:rPr>
            </w:pPr>
          </w:p>
          <w:p w:rsidR="007A387E" w:rsidRPr="00A03F05" w:rsidRDefault="007A387E" w:rsidP="007A387E">
            <w:pPr>
              <w:spacing w:after="0" w:line="240" w:lineRule="auto"/>
              <w:rPr>
                <w:b/>
                <w:color w:val="000000"/>
              </w:rPr>
            </w:pPr>
          </w:p>
          <w:p w:rsidR="007A387E" w:rsidRPr="00A03F05" w:rsidRDefault="007A387E" w:rsidP="007A387E">
            <w:pPr>
              <w:spacing w:after="0" w:line="240" w:lineRule="auto"/>
              <w:rPr>
                <w:b/>
                <w:color w:val="000000"/>
              </w:rPr>
            </w:pPr>
          </w:p>
          <w:p w:rsidR="007A387E" w:rsidRPr="00A03F05" w:rsidRDefault="007A387E" w:rsidP="007A387E">
            <w:pPr>
              <w:spacing w:after="0" w:line="240" w:lineRule="auto"/>
              <w:rPr>
                <w:b/>
                <w:color w:val="000000"/>
              </w:rPr>
            </w:pPr>
          </w:p>
          <w:p w:rsidR="007A387E" w:rsidRPr="00A03F05" w:rsidRDefault="007A387E" w:rsidP="007A387E">
            <w:pPr>
              <w:spacing w:after="0" w:line="240" w:lineRule="auto"/>
              <w:rPr>
                <w:b/>
                <w:color w:val="000000"/>
              </w:rPr>
            </w:pPr>
          </w:p>
          <w:p w:rsidR="007A387E" w:rsidRPr="00A03F05" w:rsidRDefault="007A387E" w:rsidP="007A387E">
            <w:pPr>
              <w:spacing w:after="0" w:line="240" w:lineRule="auto"/>
              <w:jc w:val="both"/>
              <w:rPr>
                <w:b/>
                <w:color w:val="000000"/>
              </w:rPr>
            </w:pPr>
          </w:p>
        </w:tc>
        <w:tc>
          <w:tcPr>
            <w:tcW w:w="3683" w:type="dxa"/>
          </w:tcPr>
          <w:p w:rsidR="007A387E" w:rsidRPr="00A03F05" w:rsidRDefault="007A387E" w:rsidP="007A387E">
            <w:pPr>
              <w:spacing w:after="0" w:line="240" w:lineRule="auto"/>
              <w:jc w:val="center"/>
              <w:rPr>
                <w:b/>
                <w:color w:val="000000"/>
                <w:sz w:val="28"/>
                <w:szCs w:val="28"/>
              </w:rPr>
            </w:pPr>
            <w:r w:rsidRPr="00A03F05">
              <w:rPr>
                <w:b/>
                <w:color w:val="000000"/>
                <w:sz w:val="28"/>
                <w:szCs w:val="28"/>
              </w:rPr>
              <w:t>KT.GIÁM ĐỐC</w:t>
            </w:r>
          </w:p>
          <w:p w:rsidR="007A387E" w:rsidRPr="00A03F05" w:rsidRDefault="007A387E" w:rsidP="007A387E">
            <w:pPr>
              <w:spacing w:after="0" w:line="240" w:lineRule="auto"/>
              <w:jc w:val="center"/>
              <w:rPr>
                <w:b/>
                <w:color w:val="000000"/>
                <w:sz w:val="28"/>
                <w:szCs w:val="28"/>
              </w:rPr>
            </w:pPr>
            <w:r w:rsidRPr="00A03F05">
              <w:rPr>
                <w:b/>
                <w:color w:val="000000"/>
                <w:sz w:val="28"/>
                <w:szCs w:val="28"/>
              </w:rPr>
              <w:t>PHÓ GIÁM ĐỐC</w:t>
            </w:r>
          </w:p>
          <w:p w:rsidR="00943887" w:rsidRDefault="00943887"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Default="00627D14" w:rsidP="00943887">
            <w:pPr>
              <w:spacing w:after="0" w:line="240" w:lineRule="auto"/>
              <w:rPr>
                <w:b/>
                <w:color w:val="000000"/>
                <w:sz w:val="2"/>
                <w:szCs w:val="2"/>
              </w:rPr>
            </w:pPr>
          </w:p>
          <w:p w:rsidR="00627D14" w:rsidRPr="00627D14" w:rsidRDefault="00627D14" w:rsidP="00943887">
            <w:pPr>
              <w:spacing w:after="0" w:line="240" w:lineRule="auto"/>
              <w:rPr>
                <w:b/>
                <w:color w:val="000000"/>
                <w:sz w:val="2"/>
                <w:szCs w:val="2"/>
              </w:rPr>
            </w:pPr>
          </w:p>
          <w:p w:rsidR="007A387E" w:rsidRPr="00A03F05" w:rsidRDefault="007A387E" w:rsidP="00B416C0">
            <w:pPr>
              <w:spacing w:after="0" w:line="240" w:lineRule="auto"/>
              <w:rPr>
                <w:b/>
                <w:color w:val="000000"/>
                <w:sz w:val="28"/>
                <w:szCs w:val="28"/>
              </w:rPr>
            </w:pPr>
          </w:p>
          <w:p w:rsidR="007A387E" w:rsidRPr="00A03F05" w:rsidRDefault="007A387E" w:rsidP="007A387E">
            <w:pPr>
              <w:spacing w:after="0" w:line="240" w:lineRule="auto"/>
              <w:jc w:val="center"/>
              <w:rPr>
                <w:b/>
                <w:color w:val="000000"/>
                <w:sz w:val="28"/>
                <w:szCs w:val="28"/>
              </w:rPr>
            </w:pPr>
            <w:r>
              <w:rPr>
                <w:b/>
                <w:color w:val="000000"/>
                <w:sz w:val="28"/>
                <w:szCs w:val="28"/>
              </w:rPr>
              <w:t>Phạm Văn Tạo</w:t>
            </w:r>
          </w:p>
        </w:tc>
      </w:tr>
    </w:tbl>
    <w:p w:rsidR="00C2796C" w:rsidRDefault="00C2796C" w:rsidP="00C2796C">
      <w:pPr>
        <w:spacing w:after="0" w:line="240" w:lineRule="auto"/>
      </w:pPr>
    </w:p>
    <w:sectPr w:rsidR="00C2796C" w:rsidSect="00C2796C">
      <w:footerReference w:type="default" r:id="rId7"/>
      <w:pgSz w:w="11907" w:h="16840" w:code="9"/>
      <w:pgMar w:top="1134" w:right="1134" w:bottom="1134" w:left="1701" w:header="720" w:footer="10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56" w:rsidRDefault="00AD3056" w:rsidP="00DA5277">
      <w:pPr>
        <w:spacing w:after="0" w:line="240" w:lineRule="auto"/>
      </w:pPr>
      <w:r>
        <w:separator/>
      </w:r>
    </w:p>
  </w:endnote>
  <w:endnote w:type="continuationSeparator" w:id="1">
    <w:p w:rsidR="00AD3056" w:rsidRDefault="00AD3056" w:rsidP="00DA5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1A" w:rsidRDefault="00277E31">
    <w:pPr>
      <w:pStyle w:val="Footer"/>
      <w:jc w:val="center"/>
    </w:pPr>
    <w:r>
      <w:fldChar w:fldCharType="begin"/>
    </w:r>
    <w:r w:rsidR="00711398">
      <w:instrText xml:space="preserve"> PAGE   \* MERGEFORMAT </w:instrText>
    </w:r>
    <w:r>
      <w:fldChar w:fldCharType="separate"/>
    </w:r>
    <w:r w:rsidR="008344EC">
      <w:rPr>
        <w:noProof/>
      </w:rPr>
      <w:t>2</w:t>
    </w:r>
    <w:r>
      <w:fldChar w:fldCharType="end"/>
    </w:r>
  </w:p>
  <w:p w:rsidR="007D0558" w:rsidRDefault="00AD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56" w:rsidRDefault="00AD3056" w:rsidP="00DA5277">
      <w:pPr>
        <w:spacing w:after="0" w:line="240" w:lineRule="auto"/>
      </w:pPr>
      <w:r>
        <w:separator/>
      </w:r>
    </w:p>
  </w:footnote>
  <w:footnote w:type="continuationSeparator" w:id="1">
    <w:p w:rsidR="00AD3056" w:rsidRDefault="00AD3056" w:rsidP="00DA5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F7C"/>
    <w:multiLevelType w:val="hybridMultilevel"/>
    <w:tmpl w:val="097AD338"/>
    <w:lvl w:ilvl="0" w:tplc="8DBA7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11AF7"/>
    <w:multiLevelType w:val="hybridMultilevel"/>
    <w:tmpl w:val="154A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A387E"/>
    <w:rsid w:val="00277E31"/>
    <w:rsid w:val="004D15B8"/>
    <w:rsid w:val="005E5DFA"/>
    <w:rsid w:val="00627D14"/>
    <w:rsid w:val="006311AD"/>
    <w:rsid w:val="006B165A"/>
    <w:rsid w:val="00711398"/>
    <w:rsid w:val="007A387E"/>
    <w:rsid w:val="008344EC"/>
    <w:rsid w:val="009345B9"/>
    <w:rsid w:val="00943887"/>
    <w:rsid w:val="00982A22"/>
    <w:rsid w:val="00AD3056"/>
    <w:rsid w:val="00B416C0"/>
    <w:rsid w:val="00C2796C"/>
    <w:rsid w:val="00CF1CC2"/>
    <w:rsid w:val="00D16665"/>
    <w:rsid w:val="00DA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87E"/>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7A387E"/>
    <w:rPr>
      <w:rFonts w:eastAsia="Times New Roman" w:cs="Times New Roman"/>
      <w:szCs w:val="24"/>
    </w:rPr>
  </w:style>
  <w:style w:type="paragraph" w:styleId="NormalWeb">
    <w:name w:val="Normal (Web)"/>
    <w:basedOn w:val="Normal"/>
    <w:uiPriority w:val="99"/>
    <w:unhideWhenUsed/>
    <w:rsid w:val="007A387E"/>
    <w:pPr>
      <w:spacing w:before="100" w:beforeAutospacing="1" w:after="100" w:afterAutospacing="1" w:line="240" w:lineRule="auto"/>
    </w:pPr>
    <w:rPr>
      <w:rFonts w:eastAsia="Times New Roman" w:cs="Times New Roman"/>
      <w:szCs w:val="24"/>
      <w:lang w:val="vi-VN" w:eastAsia="vi-VN"/>
    </w:rPr>
  </w:style>
  <w:style w:type="character" w:styleId="Hyperlink">
    <w:name w:val="Hyperlink"/>
    <w:uiPriority w:val="99"/>
    <w:semiHidden/>
    <w:unhideWhenUsed/>
    <w:rsid w:val="007A387E"/>
    <w:rPr>
      <w:color w:val="0000FF"/>
      <w:u w:val="single"/>
    </w:rPr>
  </w:style>
  <w:style w:type="paragraph" w:styleId="ListParagraph">
    <w:name w:val="List Paragraph"/>
    <w:basedOn w:val="Normal"/>
    <w:uiPriority w:val="34"/>
    <w:qFormat/>
    <w:rsid w:val="007A387E"/>
    <w:pPr>
      <w:ind w:left="720"/>
      <w:contextualSpacing/>
    </w:pPr>
  </w:style>
  <w:style w:type="paragraph" w:styleId="Header">
    <w:name w:val="header"/>
    <w:basedOn w:val="Normal"/>
    <w:link w:val="HeaderChar"/>
    <w:uiPriority w:val="99"/>
    <w:semiHidden/>
    <w:unhideWhenUsed/>
    <w:rsid w:val="00631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1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BF005-2994-44BB-BA8D-7354DA7382FA}"/>
</file>

<file path=customXml/itemProps2.xml><?xml version="1.0" encoding="utf-8"?>
<ds:datastoreItem xmlns:ds="http://schemas.openxmlformats.org/officeDocument/2006/customXml" ds:itemID="{3A868A6D-3E80-4C91-84E4-586CCB1E1323}"/>
</file>

<file path=customXml/itemProps3.xml><?xml version="1.0" encoding="utf-8"?>
<ds:datastoreItem xmlns:ds="http://schemas.openxmlformats.org/officeDocument/2006/customXml" ds:itemID="{D7E9C7C6-4A32-419C-8711-8F1ECFEE959B}"/>
</file>

<file path=docProps/app.xml><?xml version="1.0" encoding="utf-8"?>
<Properties xmlns="http://schemas.openxmlformats.org/officeDocument/2006/extended-properties" xmlns:vt="http://schemas.openxmlformats.org/officeDocument/2006/docPropsVTypes">
  <Template>Normal</Template>
  <TotalTime>41</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2020-08-13T09:02:00Z</dcterms:created>
  <dcterms:modified xsi:type="dcterms:W3CDTF">2020-09-25T01:19:00Z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